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4                                                             </w:t>
      </w:r>
      <w:r>
        <w:rPr>
          <w:rFonts w:ascii="Arial" w:hAnsi="Arial" w:eastAsia="宋体" w:cs="Arial"/>
          <w:b/>
          <w:sz w:val="24"/>
          <w:szCs w:val="24"/>
          <w:lang w:eastAsia="zh-CN"/>
        </w:rPr>
        <w:t>R4-2</w:t>
      </w:r>
      <w:r>
        <w:rPr>
          <w:rFonts w:hint="eastAsia" w:eastAsia="宋体" w:cs="Arial"/>
          <w:b/>
          <w:sz w:val="24"/>
          <w:szCs w:val="24"/>
          <w:lang w:val="en-US" w:eastAsia="zh-CN"/>
        </w:rPr>
        <w:t>501174</w:t>
      </w:r>
      <w:bookmarkStart w:id="4" w:name="_GoBack"/>
      <w:bookmarkEnd w:id="4"/>
      <w:r>
        <w:rPr>
          <w:rFonts w:hint="eastAsia" w:eastAsia="宋体" w:cs="Arial"/>
          <w:b/>
          <w:sz w:val="24"/>
          <w:szCs w:val="24"/>
          <w:lang w:val="en-US" w:eastAsia="zh-CN"/>
        </w:rPr>
        <w:t xml:space="preserve">                              </w:t>
      </w:r>
    </w:p>
    <w:p>
      <w:pPr>
        <w:pStyle w:val="28"/>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Athens</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Greece</w:t>
      </w:r>
      <w:r>
        <w:rPr>
          <w:rFonts w:ascii="Arial" w:hAnsi="Arial" w:eastAsia="宋体" w:cs="Arial"/>
          <w:b/>
          <w:sz w:val="24"/>
          <w:szCs w:val="24"/>
          <w:lang w:eastAsia="zh-CN"/>
        </w:rPr>
        <w:t xml:space="preserve">, </w:t>
      </w:r>
      <w:r>
        <w:rPr>
          <w:rFonts w:hint="eastAsia" w:eastAsia="宋体" w:cs="Arial"/>
          <w:b/>
          <w:sz w:val="24"/>
          <w:szCs w:val="24"/>
          <w:lang w:val="en-US" w:eastAsia="zh-CN"/>
        </w:rPr>
        <w:t>17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21</w:t>
      </w:r>
      <w:r>
        <w:rPr>
          <w:rFonts w:hint="eastAsia" w:eastAsia="宋体" w:cs="Arial"/>
          <w:b/>
          <w:sz w:val="24"/>
          <w:szCs w:val="24"/>
          <w:vertAlign w:val="superscript"/>
          <w:lang w:val="en-US" w:eastAsia="zh-CN"/>
        </w:rPr>
        <w:t>st</w:t>
      </w:r>
      <w:r>
        <w:rPr>
          <w:rFonts w:ascii="Arial" w:hAnsi="Arial" w:eastAsia="宋体" w:cs="Arial"/>
          <w:b/>
          <w:sz w:val="24"/>
          <w:szCs w:val="24"/>
          <w:lang w:eastAsia="zh-CN"/>
        </w:rPr>
        <w:t xml:space="preserve">  </w:t>
      </w:r>
      <w:r>
        <w:rPr>
          <w:rFonts w:hint="eastAsia" w:eastAsia="宋体" w:cs="Arial"/>
          <w:b/>
          <w:sz w:val="24"/>
          <w:szCs w:val="24"/>
          <w:lang w:val="en-US" w:eastAsia="zh-CN"/>
        </w:rPr>
        <w:t>February</w:t>
      </w:r>
      <w:r>
        <w:rPr>
          <w:rFonts w:ascii="Arial" w:hAnsi="Arial" w:eastAsia="宋体" w:cs="Arial"/>
          <w:b/>
          <w:sz w:val="24"/>
          <w:szCs w:val="24"/>
          <w:lang w:eastAsia="zh-CN"/>
        </w:rPr>
        <w:t>, 202</w:t>
      </w:r>
      <w:r>
        <w:rPr>
          <w:rFonts w:hint="eastAsia" w:eastAsia="宋体" w:cs="Arial"/>
          <w:b/>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for RedCap NTN enhancement</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7.29.4.1</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8"/>
        <w:rPr>
          <w:lang w:val="en-US"/>
        </w:rPr>
      </w:pPr>
      <w:r>
        <w:rPr>
          <w:lang w:val="en-US"/>
        </w:rPr>
        <w:t>Intro</w:t>
      </w:r>
      <w:r>
        <w:rPr>
          <w:rStyle w:val="79"/>
          <w:lang w:val="en-US"/>
        </w:rPr>
        <w:t>ductio</w:t>
      </w:r>
      <w:r>
        <w:rPr>
          <w:lang w:val="en-US"/>
        </w:rPr>
        <w:t>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2"/>
          <w:szCs w:val="22"/>
          <w:lang w:val="en-US" w:eastAsia="zh-CN"/>
        </w:rPr>
      </w:pPr>
      <w:r>
        <w:rPr>
          <w:rFonts w:hint="eastAsia" w:eastAsia="宋体"/>
          <w:sz w:val="20"/>
          <w:szCs w:val="20"/>
          <w:lang w:val="en-US" w:eastAsia="zh-CN"/>
        </w:rPr>
        <w:t>At RAN 104# meeting, the revised WID on NR NTN phase 3 [1] has been approved, and several objectives in the WID have RAN4 RRM involvement. As this is the first meeting for RAN4 RRM to work on this WI, we will provide our initial views on potential impacts on RRM requirements.</w:t>
      </w:r>
    </w:p>
    <w:p>
      <w:pPr>
        <w:pStyle w:val="78"/>
        <w:rPr>
          <w:lang w:val="en-US"/>
        </w:rPr>
      </w:pPr>
      <w:r>
        <w:rPr>
          <w:lang w:val="en-US"/>
        </w:rPr>
        <w:t>Discussion</w:t>
      </w:r>
    </w:p>
    <w:p>
      <w:pPr>
        <w:rPr>
          <w:sz w:val="22"/>
          <w:szCs w:val="22"/>
          <w:lang w:val="en-US" w:eastAsia="zh-CN"/>
        </w:rPr>
      </w:pPr>
      <w:r>
        <w:rPr>
          <w:rFonts w:hint="eastAsia" w:eastAsia="宋体"/>
          <w:sz w:val="20"/>
          <w:szCs w:val="20"/>
          <w:lang w:val="en-US" w:eastAsia="zh-CN"/>
        </w:rPr>
        <w:t>The objectives of Rel-19 NTN phase 3 enhancement are described in [1] including:</w:t>
      </w:r>
      <w:r>
        <w:rPr>
          <w:rFonts w:hint="eastAsia"/>
          <w:sz w:val="22"/>
          <w:szCs w:val="22"/>
          <w:lang w:val="en-US" w:eastAsia="zh-CN"/>
        </w:rPr>
        <w:t xml:space="preserve">  </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120" w:beforeLines="50" w:after="120" w:afterLines="50"/>
              <w:rPr>
                <w:rFonts w:hint="default" w:eastAsia="宋体"/>
                <w:bCs/>
                <w:lang w:val="en-US" w:eastAsia="zh-CN"/>
              </w:rPr>
            </w:pPr>
            <w:r>
              <w:rPr>
                <w:rFonts w:hint="eastAsia" w:eastAsia="宋体"/>
                <w:bCs/>
                <w:lang w:val="en-US" w:eastAsia="zh-CN"/>
              </w:rPr>
              <w:t xml:space="preserve">2.1 </w:t>
            </w:r>
            <w:r>
              <w:rPr>
                <w:rFonts w:eastAsia="宋体"/>
                <w:bCs/>
              </w:rPr>
              <w:tab/>
            </w:r>
            <w:r>
              <w:rPr>
                <w:rFonts w:hint="eastAsia" w:eastAsia="宋体"/>
                <w:bCs/>
                <w:lang w:val="en-US" w:eastAsia="zh-CN"/>
              </w:rPr>
              <w:t>Support of RedCap and eRedCap UEs with NR NTN operating in FR1-NTN bands</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this meeting, we will discuss the scenarios and express our views on potential impact to RRM requirements towards the above objective. The objective will be divided into several aspects:</w:t>
      </w:r>
    </w:p>
    <w:p>
      <w:pPr>
        <w:pStyle w:val="80"/>
        <w:numPr>
          <w:ilvl w:val="1"/>
          <w:numId w:val="0"/>
        </w:numPr>
        <w:rPr>
          <w:rFonts w:hint="default"/>
          <w:lang w:val="en-US" w:eastAsia="zh-CN"/>
        </w:rPr>
      </w:pPr>
      <w:r>
        <w:rPr>
          <w:rFonts w:hint="eastAsia"/>
          <w:lang w:eastAsia="zh-CN"/>
        </w:rPr>
        <w:t>2.</w:t>
      </w:r>
      <w:r>
        <w:rPr>
          <w:rFonts w:hint="eastAsia"/>
          <w:lang w:val="en-US" w:eastAsia="zh-CN"/>
        </w:rPr>
        <w:t>1 Support of RedCap and eRedCap UEs with NR NTN operating in FR1-NTN bands</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RAN4 shall define the RRM requirements based on the latest revised WID as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widowControl/>
              <w:numPr>
                <w:ilvl w:val="0"/>
                <w:numId w:val="3"/>
              </w:numPr>
              <w:overflowPunct w:val="0"/>
              <w:autoSpaceDE w:val="0"/>
              <w:autoSpaceDN w:val="0"/>
              <w:adjustRightInd w:val="0"/>
              <w:spacing w:line="276" w:lineRule="auto"/>
              <w:jc w:val="left"/>
              <w:textAlignment w:val="baseline"/>
              <w:rPr>
                <w:rFonts w:ascii="Times New Roman" w:hAnsi="Times New Roman" w:eastAsia="Malgun Gothic" w:cs="Times New Roman"/>
                <w:lang w:eastAsia="ko-KR"/>
              </w:rPr>
            </w:pPr>
            <w:r>
              <w:rPr>
                <w:rFonts w:ascii="Times New Roman" w:hAnsi="Times New Roman" w:eastAsia="Malgun Gothic" w:cs="Times New Roman"/>
                <w:lang w:eastAsia="ko-KR"/>
              </w:rPr>
              <w:t>Support of Rel-17 RedCap and Rel-18 eRedCap UEs with NR NTN operating in FR1-NTN bands [RAN4, RAN1]</w:t>
            </w:r>
          </w:p>
          <w:p>
            <w:pPr>
              <w:pStyle w:val="74"/>
              <w:numPr>
                <w:ilvl w:val="0"/>
                <w:numId w:val="4"/>
              </w:numPr>
              <w:spacing w:line="276" w:lineRule="auto"/>
              <w:ind w:firstLineChars="0"/>
              <w:contextualSpacing/>
              <w:rPr>
                <w:rFonts w:ascii="Times New Roman" w:hAnsi="Times New Roman" w:cs="Times New Roman"/>
                <w:sz w:val="20"/>
                <w:szCs w:val="20"/>
                <w:highlight w:val="yellow"/>
              </w:rPr>
            </w:pPr>
            <w:r>
              <w:rPr>
                <w:rFonts w:ascii="Times New Roman" w:hAnsi="Times New Roman" w:cs="Times New Roman"/>
                <w:sz w:val="20"/>
                <w:szCs w:val="20"/>
                <w:highlight w:val="yellow"/>
              </w:rPr>
              <w:t>For full-duplex and half duplex FDD RedCap and eRedCap UEs, define the RF and RRM requirements [RAN4]</w:t>
            </w:r>
          </w:p>
          <w:p>
            <w:pPr>
              <w:pStyle w:val="74"/>
              <w:numPr>
                <w:ilvl w:val="0"/>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For HD-FDD RedCap UEs and eRedCap UEs, specify enhancements for mitigating issues caused by TA mismatch between actual TA used by the UE and assumed TA for the UE at the gNB [RAN1]</w:t>
            </w:r>
          </w:p>
          <w:p>
            <w:pPr>
              <w:pStyle w:val="74"/>
              <w:numPr>
                <w:ilvl w:val="1"/>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Enhancements are targeted for the following HD collisions cases (cases 3 and 4):</w:t>
            </w:r>
          </w:p>
          <w:p>
            <w:pPr>
              <w:pStyle w:val="74"/>
              <w:numPr>
                <w:ilvl w:val="2"/>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 xml:space="preserve">Semi-statically configured DL reception collides with semi-statically configured UL transmission </w:t>
            </w:r>
          </w:p>
          <w:p>
            <w:pPr>
              <w:pStyle w:val="74"/>
              <w:numPr>
                <w:ilvl w:val="2"/>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 xml:space="preserve">Dynamically scheduled DL reception collides with dynamic scheduled UL transmission </w:t>
            </w:r>
          </w:p>
          <w:p>
            <w:pPr>
              <w:pStyle w:val="74"/>
              <w:numPr>
                <w:ilvl w:val="1"/>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Note: enhancements for other HD collision cases are not targeted. Enhancements for HD collision cases 3 and 4 that may improve other HD collision cases are not precluded.</w:t>
            </w:r>
          </w:p>
          <w:p>
            <w:pPr>
              <w:pStyle w:val="74"/>
              <w:numPr>
                <w:ilvl w:val="1"/>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Note: potential work in RAN2, if any, starts after RAN1 has decided on the solution.</w:t>
            </w:r>
          </w:p>
          <w:p>
            <w:pPr>
              <w:pStyle w:val="74"/>
              <w:numPr>
                <w:ilvl w:val="0"/>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Notes for this objective:</w:t>
            </w:r>
          </w:p>
          <w:p>
            <w:pPr>
              <w:pStyle w:val="74"/>
              <w:numPr>
                <w:ilvl w:val="1"/>
                <w:numId w:val="4"/>
              </w:numPr>
              <w:spacing w:line="276" w:lineRule="auto"/>
              <w:ind w:firstLineChars="0"/>
              <w:contextualSpacing/>
              <w:rPr>
                <w:rFonts w:ascii="Times New Roman" w:hAnsi="Times New Roman" w:cs="Times New Roman"/>
                <w:sz w:val="20"/>
                <w:szCs w:val="20"/>
              </w:rPr>
            </w:pPr>
            <w:r>
              <w:rPr>
                <w:rFonts w:ascii="Times New Roman" w:hAnsi="Times New Roman" w:cs="Times New Roman"/>
                <w:sz w:val="20"/>
                <w:szCs w:val="20"/>
              </w:rPr>
              <w:t>GNSS (Global Navigation Satellite Systems) capabilities and simultaneous GNSS and NR-NTN operation is supported in RedCap/eRedCap UE.</w:t>
            </w:r>
          </w:p>
          <w:p>
            <w:pPr>
              <w:spacing w:after="0"/>
              <w:ind w:left="0"/>
              <w:rPr>
                <w:rFonts w:eastAsia="宋体"/>
              </w:rPr>
            </w:pP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above WID description, we know that RAN4 shall combine with R17/R18 RedCap WI and R17/R18 NR NTN WI to discuss this objective. Thus, we shall study the features introduced in RedCap which will impact the definition of requirements.</w:t>
      </w:r>
    </w:p>
    <w:p>
      <w:pPr>
        <w:pStyle w:val="4"/>
        <w:overflowPunct w:val="0"/>
        <w:autoSpaceDE w:val="0"/>
        <w:autoSpaceDN w:val="0"/>
        <w:adjustRightInd w:val="0"/>
        <w:spacing w:before="120" w:after="120" w:line="360" w:lineRule="auto"/>
        <w:jc w:val="both"/>
        <w:textAlignment w:val="baseline"/>
        <w:rPr>
          <w:rFonts w:hint="default"/>
          <w:sz w:val="24"/>
          <w:szCs w:val="18"/>
          <w:lang w:val="en-US" w:eastAsia="zh-CN"/>
        </w:rPr>
      </w:pPr>
      <w:r>
        <w:rPr>
          <w:rFonts w:hint="eastAsia"/>
          <w:sz w:val="24"/>
          <w:szCs w:val="18"/>
          <w:lang w:val="en-US" w:eastAsia="zh-CN"/>
        </w:rPr>
        <w:t xml:space="preserve">2.1.1 RRM requirements for (e)RedCap UE with FR1-NTN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the last meeting, we have discussed the potential requirements one by one and three general cases shall be considered:</w:t>
      </w:r>
    </w:p>
    <w:p>
      <w:pPr>
        <w:numPr>
          <w:ilvl w:val="0"/>
          <w:numId w:val="5"/>
        </w:numPr>
        <w:ind w:left="420" w:hanging="420"/>
        <w:rPr>
          <w:rFonts w:hint="default"/>
          <w:sz w:val="20"/>
          <w:szCs w:val="20"/>
          <w:lang w:val="en-US" w:eastAsia="zh-CN"/>
        </w:rPr>
      </w:pPr>
      <w:r>
        <w:rPr>
          <w:rFonts w:hint="eastAsia" w:eastAsia="宋体"/>
          <w:sz w:val="20"/>
          <w:szCs w:val="20"/>
          <w:lang w:val="en-US" w:eastAsia="zh-CN"/>
        </w:rPr>
        <w:t xml:space="preserve"> </w:t>
      </w:r>
      <w:r>
        <w:rPr>
          <w:rFonts w:hint="eastAsia"/>
          <w:sz w:val="20"/>
          <w:szCs w:val="20"/>
          <w:lang w:val="en-US" w:eastAsia="zh-CN"/>
        </w:rPr>
        <w:t>Unique requirements for RedCap</w:t>
      </w:r>
    </w:p>
    <w:p>
      <w:pPr>
        <w:numPr>
          <w:ilvl w:val="0"/>
          <w:numId w:val="5"/>
        </w:numPr>
        <w:ind w:left="420" w:hanging="420"/>
        <w:rPr>
          <w:rFonts w:hint="default"/>
          <w:sz w:val="20"/>
          <w:szCs w:val="20"/>
          <w:lang w:val="en-US" w:eastAsia="zh-CN"/>
        </w:rPr>
      </w:pPr>
      <w:r>
        <w:rPr>
          <w:rFonts w:hint="eastAsia"/>
          <w:sz w:val="20"/>
          <w:szCs w:val="20"/>
          <w:lang w:val="en-US" w:eastAsia="zh-CN"/>
        </w:rPr>
        <w:t>Unique requirements for NR NTN</w:t>
      </w:r>
    </w:p>
    <w:p>
      <w:pPr>
        <w:numPr>
          <w:ilvl w:val="0"/>
          <w:numId w:val="5"/>
        </w:numPr>
        <w:ind w:left="420" w:hanging="420"/>
        <w:rPr>
          <w:rFonts w:hint="default"/>
          <w:sz w:val="20"/>
          <w:szCs w:val="20"/>
          <w:lang w:val="en-US" w:eastAsia="zh-CN"/>
        </w:rPr>
      </w:pPr>
      <w:r>
        <w:rPr>
          <w:rFonts w:hint="eastAsia"/>
          <w:sz w:val="20"/>
          <w:szCs w:val="20"/>
          <w:lang w:val="en-US" w:eastAsia="zh-CN"/>
        </w:rPr>
        <w:t>Shared requirements for RedCap and NR NTN</w:t>
      </w:r>
    </w:p>
    <w:p>
      <w:pPr>
        <w:pStyle w:val="5"/>
        <w:overflowPunct w:val="0"/>
        <w:autoSpaceDE w:val="0"/>
        <w:autoSpaceDN w:val="0"/>
        <w:adjustRightInd w:val="0"/>
        <w:spacing w:before="120" w:after="120" w:line="360" w:lineRule="auto"/>
        <w:jc w:val="both"/>
        <w:textAlignment w:val="baseline"/>
        <w:rPr>
          <w:rFonts w:hint="eastAsia"/>
          <w:lang w:val="en-US" w:eastAsia="zh-CN"/>
        </w:rPr>
      </w:pPr>
      <w:r>
        <w:rPr>
          <w:rFonts w:hint="eastAsia"/>
          <w:lang w:val="en-US" w:eastAsia="zh-CN"/>
        </w:rPr>
        <w:t>2.1.1.1 Potential impact on RRM requirements for RedCap UEs (1Rx and 2Rx)</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First of all, we would like to analyze the potential RRM requirements with the reduced UE receiving branches. And the details can be seen as the following sections.</w:t>
      </w:r>
    </w:p>
    <w:p>
      <w:pPr>
        <w:pStyle w:val="6"/>
        <w:overflowPunct w:val="0"/>
        <w:autoSpaceDE w:val="0"/>
        <w:autoSpaceDN w:val="0"/>
        <w:adjustRightInd w:val="0"/>
        <w:spacing w:before="120" w:after="120" w:line="360" w:lineRule="auto"/>
        <w:jc w:val="both"/>
        <w:textAlignment w:val="baseline"/>
        <w:rPr>
          <w:rFonts w:hint="default"/>
          <w:lang w:val="en-US" w:eastAsia="zh-CN"/>
        </w:rPr>
      </w:pPr>
      <w:r>
        <w:rPr>
          <w:rFonts w:hint="eastAsia"/>
          <w:lang w:val="en-US" w:eastAsia="zh-CN"/>
        </w:rPr>
        <w:t>2.1.1.1.1 Shared requirements for RedCap and NTN</w:t>
      </w:r>
    </w:p>
    <w:p>
      <w:pPr>
        <w:pStyle w:val="7"/>
        <w:overflowPunct w:val="0"/>
        <w:autoSpaceDE w:val="0"/>
        <w:autoSpaceDN w:val="0"/>
        <w:adjustRightInd w:val="0"/>
        <w:spacing w:before="120" w:after="120" w:line="360" w:lineRule="auto"/>
        <w:jc w:val="both"/>
        <w:textAlignment w:val="baseline"/>
        <w:rPr>
          <w:rFonts w:hint="default"/>
          <w:lang w:val="en-US" w:eastAsia="zh-CN"/>
        </w:rPr>
      </w:pPr>
      <w:r>
        <w:rPr>
          <w:rFonts w:hint="eastAsia"/>
          <w:lang w:val="en-US" w:eastAsia="zh-CN"/>
        </w:rPr>
        <w:t xml:space="preserve">2.1.1.1.1.1 RRC Idle/Inactive mobility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Based on the RRM requirements for legacy normal UE, the potential R19 RedCap UEs in NR NTN mobility requirements in IDLE/INACTIVE may be:</w:t>
      </w:r>
    </w:p>
    <w:p>
      <w:pPr>
        <w:overflowPunct w:val="0"/>
        <w:autoSpaceDE w:val="0"/>
        <w:autoSpaceDN w:val="0"/>
        <w:adjustRightInd w:val="0"/>
        <w:spacing w:before="120" w:after="120" w:line="240" w:lineRule="auto"/>
        <w:jc w:val="center"/>
        <w:textAlignment w:val="baseline"/>
        <w:rPr>
          <w:rFonts w:hint="default" w:eastAsia="宋体"/>
          <w:sz w:val="22"/>
          <w:lang w:val="en-US" w:eastAsia="zh-CN"/>
        </w:rPr>
      </w:pPr>
      <w:r>
        <w:rPr>
          <w:rFonts w:hint="eastAsia" w:eastAsia="宋体"/>
          <w:sz w:val="21"/>
          <w:szCs w:val="18"/>
          <w:lang w:val="en-US" w:eastAsia="zh-CN"/>
        </w:rPr>
        <w:t>Table 2 Potential cell re-selection requirements</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383"/>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gridSpan w:val="2"/>
          </w:tcPr>
          <w:p>
            <w:pPr>
              <w:spacing w:before="156" w:beforeLines="50"/>
              <w:rPr>
                <w:rFonts w:ascii="Times New Roman" w:hAnsi="Times New Roman" w:cs="Times New Roman"/>
                <w:lang w:val="en-GB"/>
              </w:rPr>
            </w:pPr>
            <w:r>
              <w:rPr>
                <w:rFonts w:ascii="Times New Roman" w:hAnsi="Times New Roman" w:cs="Times New Roman"/>
                <w:lang w:val="en-GB"/>
              </w:rPr>
              <w:t>Scenario</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Requirements</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Has impact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82"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TN-NTN</w:t>
            </w: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NR-NR</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82" w:type="dxa"/>
            <w:vMerge w:val="continue"/>
          </w:tcPr>
          <w:p>
            <w:pPr>
              <w:spacing w:before="156" w:beforeLines="50"/>
              <w:rPr>
                <w:rFonts w:ascii="Times New Roman" w:hAnsi="Times New Roman" w:cs="Times New Roman"/>
                <w:lang w:val="en-GB"/>
              </w:rPr>
            </w:pP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LTE-NR</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Inter-RAT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RAN2 is discussing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1382"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NTN-TN</w:t>
            </w: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NR-NR</w:t>
            </w:r>
          </w:p>
        </w:tc>
        <w:tc>
          <w:tcPr>
            <w:tcW w:w="2765"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 and Inter-RAT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1382" w:type="dxa"/>
            <w:vMerge w:val="continue"/>
          </w:tcPr>
          <w:p>
            <w:pPr>
              <w:spacing w:before="156" w:beforeLines="50"/>
              <w:rPr>
                <w:rFonts w:ascii="Times New Roman" w:hAnsi="Times New Roman" w:cs="Times New Roman"/>
                <w:lang w:val="en-GB"/>
              </w:rPr>
            </w:pP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NR-LTE</w:t>
            </w:r>
          </w:p>
        </w:tc>
        <w:tc>
          <w:tcPr>
            <w:tcW w:w="2765" w:type="dxa"/>
            <w:vMerge w:val="continue"/>
          </w:tcPr>
          <w:p>
            <w:pPr>
              <w:spacing w:before="156" w:beforeLines="50"/>
              <w:rPr>
                <w:rFonts w:ascii="Times New Roman" w:hAnsi="Times New Roman" w:cs="Times New Roman"/>
                <w:lang w:val="en-GB"/>
              </w:rPr>
            </w:pP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gridSpan w:val="2"/>
            <w:vMerge w:val="restart"/>
          </w:tcPr>
          <w:p>
            <w:pPr>
              <w:spacing w:before="156" w:beforeLines="50"/>
              <w:rPr>
                <w:rFonts w:ascii="Times New Roman" w:hAnsi="Times New Roman" w:cs="Times New Roman"/>
                <w:lang w:val="en-GB"/>
              </w:rPr>
            </w:pPr>
            <w:r>
              <w:rPr>
                <w:rFonts w:ascii="Times New Roman" w:hAnsi="Times New Roman" w:cs="Times New Roman"/>
                <w:lang w:val="en-GB"/>
              </w:rPr>
              <w:t>NTN-NTN (earth-fixed)</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Intra-frequency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gridSpan w:val="2"/>
            <w:vMerge w:val="continue"/>
          </w:tcPr>
          <w:p>
            <w:pPr>
              <w:spacing w:before="156" w:beforeLines="50"/>
              <w:rPr>
                <w:rFonts w:ascii="Times New Roman" w:hAnsi="Times New Roman" w:cs="Times New Roman"/>
                <w:lang w:val="en-GB"/>
              </w:rPr>
            </w:pP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gridSpan w:val="2"/>
            <w:vMerge w:val="restart"/>
          </w:tcPr>
          <w:p>
            <w:pPr>
              <w:spacing w:before="156" w:beforeLines="50"/>
              <w:rPr>
                <w:rFonts w:ascii="Times New Roman" w:hAnsi="Times New Roman" w:cs="Times New Roman"/>
                <w:lang w:val="en-GB"/>
              </w:rPr>
            </w:pPr>
            <w:r>
              <w:rPr>
                <w:rFonts w:ascii="Times New Roman" w:hAnsi="Times New Roman" w:cs="Times New Roman"/>
                <w:lang w:val="en-GB"/>
              </w:rPr>
              <w:t>NTN-NTN (earth-moving)</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Intra-frequency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gridSpan w:val="2"/>
            <w:vMerge w:val="continue"/>
          </w:tcPr>
          <w:p>
            <w:pPr>
              <w:spacing w:before="156" w:beforeLines="50"/>
              <w:rPr>
                <w:rFonts w:ascii="Times New Roman" w:hAnsi="Times New Roman" w:cs="Times New Roman"/>
                <w:lang w:val="en-GB"/>
              </w:rPr>
            </w:pP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bl>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b/>
          <w:bCs/>
          <w:sz w:val="20"/>
          <w:szCs w:val="20"/>
          <w:lang w:val="en-US" w:eastAsia="zh-CN"/>
        </w:rPr>
      </w:pPr>
      <w:r>
        <w:rPr>
          <w:rFonts w:hint="eastAsia" w:eastAsia="宋体"/>
          <w:sz w:val="20"/>
          <w:szCs w:val="20"/>
          <w:lang w:val="en-US" w:eastAsia="zh-CN"/>
        </w:rPr>
        <w:t xml:space="preserve">Based on WID description </w:t>
      </w:r>
      <w:r>
        <w:rPr>
          <w:rFonts w:hint="default" w:eastAsia="宋体"/>
          <w:sz w:val="20"/>
          <w:szCs w:val="20"/>
          <w:lang w:val="en-US" w:eastAsia="zh-CN"/>
        </w:rPr>
        <w:t>“</w:t>
      </w:r>
      <w:r>
        <w:rPr>
          <w:rFonts w:hint="eastAsia" w:eastAsia="宋体"/>
          <w:sz w:val="20"/>
          <w:szCs w:val="20"/>
          <w:lang w:val="en-US" w:eastAsia="zh-CN"/>
        </w:rPr>
        <w:t>UEs with NR NTN operating in FR1-NTN bands</w:t>
      </w:r>
      <w:r>
        <w:rPr>
          <w:rFonts w:hint="default" w:eastAsia="宋体"/>
          <w:sz w:val="20"/>
          <w:szCs w:val="20"/>
          <w:lang w:val="en-US" w:eastAsia="zh-CN"/>
        </w:rPr>
        <w:t>”</w:t>
      </w:r>
      <w:r>
        <w:rPr>
          <w:rFonts w:hint="eastAsia" w:eastAsia="宋体"/>
          <w:sz w:val="20"/>
          <w:szCs w:val="20"/>
          <w:lang w:val="en-US" w:eastAsia="zh-CN"/>
        </w:rPr>
        <w:t xml:space="preserve">. We deem that the above scenarios shall be considered. Combined with discussion in RedCap WI, we shall specify the requirements on 1Rx and 2Rx. </w:t>
      </w:r>
    </w:p>
    <w:p>
      <w:pPr>
        <w:pStyle w:val="9"/>
        <w:numPr>
          <w:ilvl w:val="0"/>
          <w:numId w:val="6"/>
        </w:numPr>
        <w:overflowPunct w:val="0"/>
        <w:autoSpaceDE w:val="0"/>
        <w:autoSpaceDN w:val="0"/>
        <w:adjustRightInd w:val="0"/>
        <w:spacing w:before="120" w:after="120" w:line="360" w:lineRule="auto"/>
        <w:jc w:val="both"/>
        <w:textAlignment w:val="baseline"/>
        <w:rPr>
          <w:rFonts w:hint="eastAsia" w:eastAsia="Times New Roman"/>
          <w:b w:val="0"/>
          <w:bCs w:val="0"/>
          <w:i w:val="0"/>
          <w:iCs w:val="0"/>
          <w:sz w:val="20"/>
          <w:u w:val="none"/>
          <w:lang w:val="en-US" w:eastAsia="zh-CN"/>
        </w:rPr>
      </w:pPr>
      <w:r>
        <w:rPr>
          <w:rFonts w:hint="eastAsia" w:eastAsia="Times New Roman"/>
          <w:b w:val="0"/>
          <w:bCs w:val="0"/>
          <w:i w:val="0"/>
          <w:iCs w:val="0"/>
          <w:sz w:val="20"/>
          <w:u w:val="none"/>
          <w:lang w:val="en-US" w:eastAsia="zh-CN"/>
        </w:rPr>
        <w:t xml:space="preserve">Measurements of  </w:t>
      </w:r>
      <w:r>
        <w:rPr>
          <w:rFonts w:hint="eastAsia"/>
          <w:b w:val="0"/>
          <w:bCs w:val="0"/>
          <w:i w:val="0"/>
          <w:iCs w:val="0"/>
          <w:sz w:val="20"/>
          <w:u w:val="none"/>
          <w:lang w:val="en-US" w:eastAsia="zh-CN"/>
        </w:rPr>
        <w:t>TN-NTN and NTN-TN</w:t>
      </w:r>
      <w:r>
        <w:rPr>
          <w:rFonts w:hint="eastAsia" w:eastAsia="Times New Roman"/>
          <w:b w:val="0"/>
          <w:bCs w:val="0"/>
          <w:i w:val="0"/>
          <w:iCs w:val="0"/>
          <w:sz w:val="20"/>
          <w:u w:val="none"/>
          <w:lang w:val="en-US" w:eastAsia="zh-CN"/>
        </w:rPr>
        <w:t xml:space="preserve"> for 1Rx and 2Rx RedCap UE</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383"/>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82"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TN-NTN</w:t>
            </w: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NR-NR</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82" w:type="dxa"/>
            <w:vMerge w:val="continue"/>
          </w:tcPr>
          <w:p>
            <w:pPr>
              <w:spacing w:before="156" w:beforeLines="50"/>
              <w:rPr>
                <w:rFonts w:ascii="Times New Roman" w:hAnsi="Times New Roman" w:cs="Times New Roman"/>
                <w:lang w:val="en-GB"/>
              </w:rPr>
            </w:pP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LTE-NR</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Inter-RAT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RAN2 is discussing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1382"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NTN-TN</w:t>
            </w: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NR-NR</w:t>
            </w:r>
          </w:p>
        </w:tc>
        <w:tc>
          <w:tcPr>
            <w:tcW w:w="2765"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 and Inter-RAT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1382" w:type="dxa"/>
            <w:vMerge w:val="continue"/>
          </w:tcPr>
          <w:p>
            <w:pPr>
              <w:spacing w:before="156" w:beforeLines="50"/>
              <w:rPr>
                <w:rFonts w:ascii="Times New Roman" w:hAnsi="Times New Roman" w:cs="Times New Roman"/>
                <w:lang w:val="en-GB"/>
              </w:rPr>
            </w:pPr>
          </w:p>
        </w:tc>
        <w:tc>
          <w:tcPr>
            <w:tcW w:w="1383" w:type="dxa"/>
          </w:tcPr>
          <w:p>
            <w:pPr>
              <w:spacing w:before="156" w:beforeLines="50"/>
              <w:rPr>
                <w:rFonts w:ascii="Times New Roman" w:hAnsi="Times New Roman" w:cs="Times New Roman"/>
                <w:lang w:val="en-GB"/>
              </w:rPr>
            </w:pPr>
            <w:r>
              <w:rPr>
                <w:rFonts w:ascii="Times New Roman" w:hAnsi="Times New Roman" w:cs="Times New Roman"/>
                <w:lang w:val="en-GB"/>
              </w:rPr>
              <w:t>NR-LTE</w:t>
            </w:r>
          </w:p>
        </w:tc>
        <w:tc>
          <w:tcPr>
            <w:tcW w:w="2765" w:type="dxa"/>
            <w:vMerge w:val="continue"/>
          </w:tcPr>
          <w:p>
            <w:pPr>
              <w:spacing w:before="156" w:beforeLines="50"/>
              <w:rPr>
                <w:rFonts w:ascii="Times New Roman" w:hAnsi="Times New Roman" w:cs="Times New Roman"/>
                <w:lang w:val="en-GB"/>
              </w:rPr>
            </w:pP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In R18 NR NTN WI, we define the cell re-selection requirements between TN and NTN including inter-RAT and inter-frequency measurements requirements. Thus, RAN4 shall define related requirements on TN-NTN (NR-NR) and NTN-TN(NR-NR/NR-LTE) for 1Rx and 2Rx RedCap UE. As for TN-NTN (LTE-NR), RAN2 is under discussion and there has been no RAN4 RRM impact so far.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r>
        <w:rPr>
          <w:rFonts w:hint="eastAsia" w:eastAsia="宋体"/>
          <w:b/>
          <w:bCs/>
          <w:sz w:val="20"/>
          <w:szCs w:val="20"/>
          <w:lang w:val="en-US" w:eastAsia="zh-CN"/>
        </w:rPr>
        <w:t>Observation 1: RAN2 is discussing TN to NTN (LTE to NR) cell re-selection and there has been not RAN4 RRM impact so far.</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b/>
          <w:bCs/>
          <w:sz w:val="20"/>
          <w:szCs w:val="20"/>
          <w:lang w:val="en-US" w:eastAsia="zh-CN"/>
        </w:rPr>
      </w:pPr>
      <w:r>
        <w:rPr>
          <w:rFonts w:hint="eastAsia" w:eastAsia="宋体"/>
          <w:b/>
          <w:bCs/>
          <w:sz w:val="20"/>
          <w:szCs w:val="20"/>
          <w:lang w:val="en-US" w:eastAsia="zh-CN"/>
        </w:rPr>
        <w:t>Observation 2: RAN4 has already defined the inter-RAT and inter-frequency measurement requirements between TN and NTN in R18 NTN.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For measurement requirements in inter-frequency and inter-RAT, we mainly define the Tdetect/measure/evaluate, and the legacy measurement requirements can be seen as below:</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tcPr>
          <w:p>
            <w:pPr>
              <w:spacing w:before="156" w:beforeLines="50"/>
              <w:rPr>
                <w:rFonts w:ascii="Times New Roman" w:hAnsi="Times New Roman" w:cs="Times New Roman"/>
                <w:b/>
                <w:lang w:val="en-GB"/>
              </w:rPr>
            </w:pPr>
            <w:r>
              <w:rPr>
                <w:rFonts w:ascii="Times New Roman" w:hAnsi="Times New Roman" w:cs="Times New Roman"/>
                <w:b/>
                <w:lang w:val="en-GB"/>
              </w:rPr>
              <w:t>TN to NTN (NR to NR):</w:t>
            </w:r>
          </w:p>
          <w:p>
            <w:pPr>
              <w:keepNext/>
              <w:keepLines/>
              <w:spacing w:before="60"/>
              <w:jc w:val="center"/>
              <w:rPr>
                <w:rFonts w:hint="default" w:ascii="Arial" w:hAnsi="Arial" w:eastAsia="宋体"/>
                <w:b/>
                <w:vertAlign w:val="baseline"/>
                <w:lang w:val="en-US" w:eastAsia="zh-CN"/>
              </w:rPr>
            </w:pPr>
            <w:r>
              <w:rPr>
                <w:rFonts w:ascii="Arial" w:hAnsi="Arial" w:eastAsia="Malgun Gothic"/>
                <w:b/>
              </w:rPr>
              <w:t>Table 4.2.2.4-1: T</w:t>
            </w:r>
            <w:r>
              <w:rPr>
                <w:rFonts w:ascii="Arial" w:hAnsi="Arial" w:eastAsia="Malgun Gothic"/>
                <w:b/>
                <w:vertAlign w:val="subscript"/>
              </w:rPr>
              <w:t>detect,NR_Inter,</w:t>
            </w:r>
            <w:r>
              <w:rPr>
                <w:rFonts w:ascii="Arial" w:hAnsi="Arial" w:eastAsia="Malgun Gothic"/>
                <w:b/>
              </w:rPr>
              <w:t xml:space="preserve"> T</w:t>
            </w:r>
            <w:r>
              <w:rPr>
                <w:rFonts w:ascii="Arial" w:hAnsi="Arial" w:eastAsia="Malgun Gothic"/>
                <w:b/>
                <w:vertAlign w:val="subscript"/>
              </w:rPr>
              <w:t>measure,NR_Inter</w:t>
            </w:r>
            <w:r>
              <w:rPr>
                <w:rFonts w:ascii="Arial" w:hAnsi="Arial" w:eastAsia="Malgun Gothic"/>
                <w:b/>
              </w:rPr>
              <w:t xml:space="preserve"> and T</w:t>
            </w:r>
            <w:r>
              <w:rPr>
                <w:rFonts w:ascii="Arial" w:hAnsi="Arial" w:eastAsia="Malgun Gothic"/>
                <w:b/>
                <w:vertAlign w:val="subscript"/>
              </w:rPr>
              <w:t>evaluate,NR_Inter</w:t>
            </w:r>
            <w:r>
              <w:rPr>
                <w:rFonts w:hint="eastAsia" w:ascii="Arial" w:hAnsi="Arial" w:eastAsia="宋体"/>
                <w:b/>
                <w:vertAlign w:val="subscript"/>
                <w:lang w:val="en-US" w:eastAsia="zh-CN"/>
              </w:rPr>
              <w:t xml:space="preserve"> </w:t>
            </w:r>
            <w:r>
              <w:rPr>
                <w:rFonts w:hint="eastAsia" w:ascii="Arial" w:hAnsi="Arial" w:eastAsia="宋体"/>
                <w:b/>
                <w:vertAlign w:val="baseline"/>
                <w:lang w:val="en-US" w:eastAsia="zh-CN"/>
              </w:rPr>
              <w:t>for TN</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3"/>
              <w:gridCol w:w="557"/>
              <w:gridCol w:w="1241"/>
              <w:gridCol w:w="1191"/>
              <w:gridCol w:w="1415"/>
              <w:gridCol w:w="1433"/>
              <w:gridCol w:w="1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DRX cycle length [s]</w:t>
                  </w:r>
                </w:p>
              </w:tc>
              <w:tc>
                <w:tcPr>
                  <w:tcW w:w="298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Scaling Factor (N1)</w:t>
                  </w:r>
                </w:p>
              </w:tc>
              <w:tc>
                <w:tcPr>
                  <w:tcW w:w="1415"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T</w:t>
                  </w:r>
                  <w:r>
                    <w:rPr>
                      <w:rFonts w:ascii="Arial" w:hAnsi="Arial" w:eastAsia="Malgun Gothic"/>
                      <w:b/>
                      <w:sz w:val="18"/>
                      <w:vertAlign w:val="subscript"/>
                    </w:rPr>
                    <w:t>detect,NR_</w:t>
                  </w:r>
                  <w:r>
                    <w:rPr>
                      <w:rFonts w:ascii="Arial" w:hAnsi="Arial" w:eastAsia="Malgun Gothic" w:cs="v4.2.0"/>
                      <w:b/>
                      <w:sz w:val="18"/>
                      <w:vertAlign w:val="subscript"/>
                    </w:rPr>
                    <w:t>Inter</w:t>
                  </w:r>
                  <w:r>
                    <w:rPr>
                      <w:rFonts w:ascii="Arial" w:hAnsi="Arial" w:eastAsia="Malgun Gothic"/>
                      <w:b/>
                      <w:sz w:val="18"/>
                    </w:rPr>
                    <w:t xml:space="preserve"> [s] (number of DRX cycles)</w:t>
                  </w:r>
                </w:p>
              </w:tc>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T</w:t>
                  </w:r>
                  <w:r>
                    <w:rPr>
                      <w:rFonts w:ascii="Arial" w:hAnsi="Arial" w:eastAsia="Malgun Gothic"/>
                      <w:b/>
                      <w:sz w:val="18"/>
                      <w:vertAlign w:val="subscript"/>
                    </w:rPr>
                    <w:t>measure,NR_</w:t>
                  </w:r>
                  <w:r>
                    <w:rPr>
                      <w:rFonts w:ascii="Arial" w:hAnsi="Arial" w:eastAsia="Malgun Gothic" w:cs="v4.2.0"/>
                      <w:b/>
                      <w:sz w:val="18"/>
                      <w:vertAlign w:val="subscript"/>
                    </w:rPr>
                    <w:t>Inter</w:t>
                  </w:r>
                  <w:r>
                    <w:rPr>
                      <w:rFonts w:ascii="Arial" w:hAnsi="Arial" w:eastAsia="Malgun Gothic"/>
                      <w:b/>
                      <w:sz w:val="18"/>
                    </w:rPr>
                    <w:t xml:space="preserve"> [s] (number of DRX cycles)</w:t>
                  </w:r>
                </w:p>
              </w:tc>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T</w:t>
                  </w:r>
                  <w:r>
                    <w:rPr>
                      <w:rFonts w:ascii="Arial" w:hAnsi="Arial" w:eastAsia="Malgun Gothic"/>
                      <w:b/>
                      <w:sz w:val="18"/>
                      <w:vertAlign w:val="subscript"/>
                    </w:rPr>
                    <w:t>evaluate,NR_</w:t>
                  </w:r>
                  <w:r>
                    <w:rPr>
                      <w:rFonts w:ascii="Arial" w:hAnsi="Arial" w:eastAsia="Malgun Gothic" w:cs="v4.2.0"/>
                      <w:b/>
                      <w:sz w:val="18"/>
                      <w:vertAlign w:val="subscript"/>
                    </w:rPr>
                    <w:t>Inter</w:t>
                  </w:r>
                  <w:r>
                    <w:rPr>
                      <w:rFonts w:ascii="Arial" w:hAnsi="Arial" w:eastAsia="Malgun Gothic" w:cs="Arial"/>
                      <w:b/>
                      <w:sz w:val="18"/>
                    </w:rPr>
                    <w:t xml:space="preserve"> </w:t>
                  </w:r>
                  <w:r>
                    <w:rPr>
                      <w:rFonts w:ascii="Arial" w:hAnsi="Arial" w:eastAsia="Malgun Gothic"/>
                      <w:b/>
                      <w:sz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FR1</w:t>
                  </w: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vertAlign w:val="superscript"/>
                    </w:rPr>
                  </w:pPr>
                  <w:r>
                    <w:rPr>
                      <w:rFonts w:ascii="Arial" w:hAnsi="Arial" w:eastAsia="Malgun Gothic"/>
                      <w:b/>
                      <w:sz w:val="18"/>
                    </w:rPr>
                    <w:t>FR2-1</w:t>
                  </w:r>
                  <w:r>
                    <w:rPr>
                      <w:rFonts w:ascii="Arial" w:hAnsi="Arial" w:eastAsia="Malgun Gothic"/>
                      <w:b/>
                      <w:sz w:val="18"/>
                      <w:vertAlign w:val="superscript"/>
                    </w:rPr>
                    <w:t>Note1</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b/>
                      <w:sz w:val="18"/>
                      <w:szCs w:val="18"/>
                      <w:vertAlign w:val="superscript"/>
                    </w:rPr>
                  </w:pPr>
                  <w:r>
                    <w:rPr>
                      <w:rFonts w:ascii="Arial" w:hAnsi="Arial" w:cs="Arial"/>
                      <w:b/>
                      <w:bCs/>
                      <w:sz w:val="18"/>
                      <w:szCs w:val="18"/>
                    </w:rPr>
                    <w:t>FR2-2</w:t>
                  </w:r>
                  <w:r>
                    <w:rPr>
                      <w:rFonts w:ascii="Arial" w:hAnsi="Arial" w:cs="Arial"/>
                      <w:sz w:val="18"/>
                      <w:szCs w:val="18"/>
                      <w:vertAlign w:val="superscript"/>
                    </w:rPr>
                    <w:t xml:space="preserve"> Note2</w:t>
                  </w:r>
                </w:p>
              </w:tc>
              <w:tc>
                <w:tcPr>
                  <w:tcW w:w="14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0.32</w:t>
                  </w:r>
                </w:p>
              </w:tc>
              <w:tc>
                <w:tcPr>
                  <w:tcW w:w="0" w:type="auto"/>
                  <w:tcBorders>
                    <w:top w:val="single" w:color="auto" w:sz="4" w:space="0"/>
                    <w:left w:val="single" w:color="auto" w:sz="4" w:space="0"/>
                    <w:bottom w:val="nil"/>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w:t>
                  </w: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8</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12</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 xml:space="preserve">11.52 x N1 </w:t>
                  </w:r>
                  <w:r>
                    <w:rPr>
                      <w:rFonts w:ascii="Arial" w:hAnsi="Arial" w:eastAsia="Malgun Gothic" w:cs="Arial"/>
                      <w:sz w:val="18"/>
                    </w:rPr>
                    <w:t xml:space="preserve">x 1.5 </w:t>
                  </w:r>
                  <w:r>
                    <w:rPr>
                      <w:rFonts w:ascii="Arial" w:hAnsi="Arial" w:eastAsia="Malgun Gothic"/>
                      <w:sz w:val="18"/>
                    </w:rPr>
                    <w:t>(36 x N1</w:t>
                  </w:r>
                  <w:r>
                    <w:rPr>
                      <w:rFonts w:ascii="Arial" w:hAnsi="Arial" w:eastAsia="Malgun Gothic" w:cs="Arial"/>
                      <w:sz w:val="18"/>
                    </w:rPr>
                    <w:t xml:space="preserve"> x 1.5</w:t>
                  </w:r>
                  <w:r>
                    <w:rPr>
                      <w:rFonts w:ascii="Arial" w:hAnsi="Arial" w:eastAsia="Malgun Gothic"/>
                      <w:sz w:val="18"/>
                    </w:rPr>
                    <w:t>)</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 xml:space="preserve">1.28 x N1 </w:t>
                  </w:r>
                  <w:r>
                    <w:rPr>
                      <w:rFonts w:ascii="Arial" w:hAnsi="Arial" w:eastAsia="Malgun Gothic" w:cs="Arial"/>
                      <w:sz w:val="18"/>
                    </w:rPr>
                    <w:t xml:space="preserve">x 1.5 </w:t>
                  </w:r>
                  <w:r>
                    <w:rPr>
                      <w:rFonts w:ascii="Arial" w:hAnsi="Arial" w:eastAsia="Malgun Gothic"/>
                      <w:sz w:val="18"/>
                    </w:rPr>
                    <w:t>(4 x N1</w:t>
                  </w:r>
                  <w:r>
                    <w:rPr>
                      <w:rFonts w:ascii="Arial" w:hAnsi="Arial" w:eastAsia="Malgun Gothic" w:cs="Arial"/>
                      <w:sz w:val="18"/>
                    </w:rPr>
                    <w:t xml:space="preserve"> x 1.5</w:t>
                  </w:r>
                  <w:r>
                    <w:rPr>
                      <w:rFonts w:ascii="Arial" w:hAnsi="Arial" w:eastAsia="Malgun Gothic"/>
                      <w:sz w:val="18"/>
                    </w:rPr>
                    <w:t>)</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 xml:space="preserve">5.12 x N1 </w:t>
                  </w:r>
                  <w:r>
                    <w:rPr>
                      <w:rFonts w:ascii="Arial" w:hAnsi="Arial" w:eastAsia="Malgun Gothic" w:cs="Arial"/>
                      <w:sz w:val="18"/>
                    </w:rPr>
                    <w:t xml:space="preserve">x 1.5 </w:t>
                  </w:r>
                  <w:r>
                    <w:rPr>
                      <w:rFonts w:ascii="Arial" w:hAnsi="Arial" w:eastAsia="Malgun Gothic"/>
                      <w:sz w:val="18"/>
                    </w:rPr>
                    <w:t>(16 x N1</w:t>
                  </w:r>
                  <w:r>
                    <w:rPr>
                      <w:rFonts w:ascii="Arial" w:hAnsi="Arial" w:eastAsia="Malgun Gothic" w:cs="Arial"/>
                      <w:sz w:val="18"/>
                    </w:rPr>
                    <w:t xml:space="preserve"> x 1.5</w:t>
                  </w:r>
                  <w:r>
                    <w:rPr>
                      <w:rFonts w:ascii="Arial" w:hAnsi="Arial" w:eastAsia="Malgun Gothic"/>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0.64</w:t>
                  </w:r>
                </w:p>
              </w:tc>
              <w:tc>
                <w:tcPr>
                  <w:tcW w:w="0" w:type="auto"/>
                  <w:tcBorders>
                    <w:top w:val="nil"/>
                    <w:left w:val="single" w:color="auto" w:sz="4" w:space="0"/>
                    <w:bottom w:val="nil"/>
                    <w:right w:val="single" w:color="auto" w:sz="4" w:space="0"/>
                  </w:tcBorders>
                </w:tcPr>
                <w:p>
                  <w:pPr>
                    <w:keepNext/>
                    <w:keepLines/>
                    <w:spacing w:after="0"/>
                    <w:jc w:val="center"/>
                    <w:rPr>
                      <w:rFonts w:ascii="Arial" w:hAnsi="Arial" w:eastAsia="Malgun Gothic"/>
                      <w:sz w:val="18"/>
                    </w:rPr>
                  </w:pP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5</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8</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17.92x N1 (28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1.28 x N1 (2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1.28</w:t>
                  </w:r>
                </w:p>
              </w:tc>
              <w:tc>
                <w:tcPr>
                  <w:tcW w:w="0" w:type="auto"/>
                  <w:tcBorders>
                    <w:top w:val="nil"/>
                    <w:left w:val="single" w:color="auto" w:sz="4" w:space="0"/>
                    <w:bottom w:val="nil"/>
                    <w:right w:val="single" w:color="auto" w:sz="4" w:space="0"/>
                  </w:tcBorders>
                </w:tcPr>
                <w:p>
                  <w:pPr>
                    <w:keepNext/>
                    <w:keepLines/>
                    <w:spacing w:after="0"/>
                    <w:jc w:val="center"/>
                    <w:rPr>
                      <w:rFonts w:ascii="Arial" w:hAnsi="Arial" w:eastAsia="Malgun Gothic"/>
                      <w:sz w:val="18"/>
                    </w:rPr>
                  </w:pP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4</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6</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32 x N1 (25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1.28 x N1 (1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2.56</w:t>
                  </w:r>
                </w:p>
              </w:tc>
              <w:tc>
                <w:tcPr>
                  <w:tcW w:w="0" w:type="auto"/>
                  <w:tcBorders>
                    <w:top w:val="nil"/>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3</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5</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58.88 x N1 (23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2.56 x N1 (1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7"/>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CG Times (WN)"/>
                      <w:sz w:val="18"/>
                      <w:lang w:eastAsia="zh-CN"/>
                    </w:rPr>
                  </w:pPr>
                  <w:r>
                    <w:rPr>
                      <w:rFonts w:ascii="Arial" w:hAnsi="Arial" w:eastAsia="CG Times (WN)"/>
                      <w:snapToGrid w:val="0"/>
                      <w:sz w:val="18"/>
                    </w:rPr>
                    <w:t>Note 1</w:t>
                  </w:r>
                  <w:r>
                    <w:rPr>
                      <w:rFonts w:ascii="Arial" w:hAnsi="Arial" w:eastAsia="CG Times (WN)"/>
                      <w:sz w:val="18"/>
                      <w:lang w:eastAsia="zh-CN"/>
                    </w:rPr>
                    <w:t>:</w:t>
                  </w:r>
                  <w:r>
                    <w:rPr>
                      <w:rFonts w:ascii="Arial" w:hAnsi="Arial" w:eastAsia="CG Times (WN)"/>
                      <w:sz w:val="18"/>
                      <w:lang w:val="en-US" w:eastAsia="zh-CN"/>
                    </w:rPr>
                    <w:tab/>
                  </w:r>
                  <w:r>
                    <w:rPr>
                      <w:rFonts w:ascii="Arial" w:hAnsi="Arial" w:eastAsia="CG Times (WN)"/>
                      <w:sz w:val="18"/>
                      <w:lang w:eastAsia="zh-CN"/>
                    </w:rPr>
                    <w:t xml:space="preserve">Applies for UE supporting FR2-1 power class </w:t>
                  </w:r>
                  <w:r>
                    <w:rPr>
                      <w:rFonts w:ascii="Arial" w:hAnsi="Arial" w:eastAsia="CG Times (WN)"/>
                      <w:sz w:val="18"/>
                    </w:rPr>
                    <w:t>2&amp;3&amp;4</w:t>
                  </w:r>
                  <w:r>
                    <w:rPr>
                      <w:rFonts w:ascii="Arial" w:hAnsi="Arial" w:eastAsia="CG Times (WN)"/>
                      <w:sz w:val="18"/>
                      <w:lang w:eastAsia="zh-CN"/>
                    </w:rPr>
                    <w:t>. For UE supporting FR2-1 power class 1</w:t>
                  </w:r>
                  <w:r>
                    <w:rPr>
                      <w:rFonts w:ascii="Arial" w:hAnsi="Arial" w:eastAsia="CG Times (WN)"/>
                      <w:sz w:val="18"/>
                    </w:rPr>
                    <w:t xml:space="preserve"> or 5</w:t>
                  </w:r>
                  <w:r>
                    <w:rPr>
                      <w:rFonts w:ascii="Arial" w:hAnsi="Arial" w:eastAsia="CG Times (WN)"/>
                      <w:sz w:val="18"/>
                      <w:lang w:eastAsia="zh-CN"/>
                    </w:rPr>
                    <w:t>, N1 = 8 for all DRX cycle length.</w:t>
                  </w:r>
                </w:p>
                <w:p>
                  <w:pPr>
                    <w:pStyle w:val="60"/>
                    <w:rPr>
                      <w:snapToGrid w:val="0"/>
                      <w:lang w:eastAsia="zh-CN"/>
                    </w:rPr>
                  </w:pPr>
                  <w:r>
                    <w:rPr>
                      <w:lang w:eastAsia="zh-CN"/>
                    </w:rPr>
                    <w:t>Note 2:</w:t>
                  </w:r>
                  <w:r>
                    <w:rPr>
                      <w:lang w:eastAsia="zh-CN"/>
                    </w:rPr>
                    <w:tab/>
                  </w:r>
                  <w:r>
                    <w:rPr>
                      <w:lang w:eastAsia="zh-CN"/>
                    </w:rPr>
                    <w:t>Applies for UE supporting FR2-2 power class 2&amp;3. For UE supporting FR2-2 power class 1, N1 = 12 for all DRX cycle length.</w:t>
                  </w:r>
                </w:p>
              </w:tc>
            </w:tr>
          </w:tbl>
          <w:p>
            <w:pPr>
              <w:pStyle w:val="74"/>
              <w:widowControl/>
              <w:numPr>
                <w:ilvl w:val="-1"/>
                <w:numId w:val="0"/>
              </w:numPr>
              <w:overflowPunct w:val="0"/>
              <w:autoSpaceDE w:val="0"/>
              <w:autoSpaceDN w:val="0"/>
              <w:adjustRightInd w:val="0"/>
              <w:spacing w:after="180" w:line="276" w:lineRule="auto"/>
              <w:ind w:left="0" w:firstLine="0" w:firstLineChars="0"/>
              <w:jc w:val="left"/>
              <w:textAlignment w:val="baseline"/>
              <w:rPr>
                <w:rFonts w:ascii="Times New Roman" w:hAnsi="Times New Roman" w:cs="Times New Roman"/>
                <w:lang w:eastAsia="ja-JP"/>
              </w:rPr>
            </w:pPr>
          </w:p>
          <w:p>
            <w:pPr>
              <w:pStyle w:val="55"/>
              <w:rPr>
                <w:rFonts w:hint="eastAsia" w:eastAsia="宋体"/>
                <w:vertAlign w:val="subscript"/>
                <w:lang w:val="en-US" w:eastAsia="zh-CN"/>
              </w:rPr>
            </w:pPr>
            <w:r>
              <w:t>Table 4.2C.2.4-1: T</w:t>
            </w:r>
            <w:r>
              <w:rPr>
                <w:vertAlign w:val="subscript"/>
              </w:rPr>
              <w:t>detect,NR_Inter,</w:t>
            </w:r>
            <w:r>
              <w:t xml:space="preserve"> T</w:t>
            </w:r>
            <w:r>
              <w:rPr>
                <w:vertAlign w:val="subscript"/>
              </w:rPr>
              <w:t>measure,NR_Inter</w:t>
            </w:r>
            <w:r>
              <w:t xml:space="preserve"> and T</w:t>
            </w:r>
            <w:r>
              <w:rPr>
                <w:vertAlign w:val="subscript"/>
              </w:rPr>
              <w:t>evaluate,NR_Inter</w:t>
            </w:r>
            <w:r>
              <w:rPr>
                <w:rFonts w:hint="eastAsia" w:eastAsia="宋体"/>
                <w:vertAlign w:val="subscript"/>
                <w:lang w:val="en-US" w:eastAsia="zh-CN"/>
              </w:rPr>
              <w:t xml:space="preserve"> </w:t>
            </w:r>
            <w:r>
              <w:rPr>
                <w:rFonts w:hint="eastAsia" w:ascii="Arial" w:hAnsi="Arial" w:eastAsia="宋体"/>
                <w:b/>
                <w:vertAlign w:val="baseline"/>
                <w:lang w:val="en-US" w:eastAsia="zh-CN"/>
              </w:rPr>
              <w:t xml:space="preserve">for </w:t>
            </w:r>
            <w:r>
              <w:rPr>
                <w:rFonts w:hint="eastAsia" w:eastAsia="宋体"/>
                <w:b/>
                <w:vertAlign w:val="baseline"/>
                <w:lang w:val="en-US" w:eastAsia="zh-CN"/>
              </w:rPr>
              <w:t>N</w:t>
            </w:r>
            <w:r>
              <w:rPr>
                <w:rFonts w:hint="eastAsia" w:ascii="Arial" w:hAnsi="Arial" w:eastAsia="宋体"/>
                <w:b/>
                <w:vertAlign w:val="baseline"/>
                <w:lang w:val="en-US" w:eastAsia="zh-CN"/>
              </w:rPr>
              <w:t>TN</w:t>
            </w:r>
          </w:p>
          <w:tbl>
            <w:tblPr>
              <w:tblStyle w:val="3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1712"/>
              <w:gridCol w:w="1793"/>
              <w:gridCol w:w="1795"/>
              <w:gridCol w:w="1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604" w:type="pct"/>
                  <w:vMerge w:val="restart"/>
                  <w:tcBorders>
                    <w:top w:val="single" w:color="auto" w:sz="4" w:space="0"/>
                    <w:left w:val="single" w:color="auto" w:sz="4" w:space="0"/>
                    <w:bottom w:val="single" w:color="auto" w:sz="4" w:space="0"/>
                    <w:right w:val="single" w:color="auto" w:sz="4" w:space="0"/>
                  </w:tcBorders>
                </w:tcPr>
                <w:p>
                  <w:pPr>
                    <w:pStyle w:val="46"/>
                  </w:pPr>
                  <w:r>
                    <w:t>DRX cycle length [s]</w:t>
                  </w:r>
                </w:p>
              </w:tc>
              <w:tc>
                <w:tcPr>
                  <w:tcW w:w="1061" w:type="pct"/>
                  <w:tcBorders>
                    <w:top w:val="single" w:color="auto" w:sz="4" w:space="0"/>
                    <w:left w:val="single" w:color="auto" w:sz="4" w:space="0"/>
                    <w:bottom w:val="single" w:color="auto" w:sz="4" w:space="0"/>
                    <w:right w:val="single" w:color="auto" w:sz="4" w:space="0"/>
                  </w:tcBorders>
                </w:tcPr>
                <w:p>
                  <w:pPr>
                    <w:pStyle w:val="46"/>
                  </w:pPr>
                  <w:r>
                    <w:t>Scaling Factor (N1)</w:t>
                  </w:r>
                </w:p>
              </w:tc>
              <w:tc>
                <w:tcPr>
                  <w:tcW w:w="1111" w:type="pct"/>
                  <w:vMerge w:val="restart"/>
                  <w:tcBorders>
                    <w:top w:val="single" w:color="auto" w:sz="4" w:space="0"/>
                    <w:left w:val="single" w:color="auto" w:sz="4" w:space="0"/>
                    <w:bottom w:val="single" w:color="auto" w:sz="4" w:space="0"/>
                    <w:right w:val="single" w:color="auto" w:sz="4" w:space="0"/>
                  </w:tcBorders>
                </w:tcPr>
                <w:p>
                  <w:pPr>
                    <w:pStyle w:val="46"/>
                  </w:pPr>
                  <w:r>
                    <w:t>T</w:t>
                  </w:r>
                  <w:r>
                    <w:rPr>
                      <w:vertAlign w:val="subscript"/>
                    </w:rPr>
                    <w:t>detect,NR_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46"/>
                  </w:pPr>
                  <w:r>
                    <w:t>T</w:t>
                  </w:r>
                  <w:r>
                    <w:rPr>
                      <w:vertAlign w:val="subscript"/>
                    </w:rPr>
                    <w:t>measure,NR_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46"/>
                  </w:pPr>
                  <w:r>
                    <w:t>T</w:t>
                  </w:r>
                  <w:r>
                    <w:rPr>
                      <w:vertAlign w:val="subscript"/>
                    </w:rPr>
                    <w:t>evaluate,NR_</w:t>
                  </w:r>
                  <w:r>
                    <w:rPr>
                      <w:rFonts w:cs="v4.2.0"/>
                      <w:vertAlign w:val="subscript"/>
                    </w:rPr>
                    <w:t>Inter</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6"/>
                  </w:pPr>
                </w:p>
              </w:tc>
              <w:tc>
                <w:tcPr>
                  <w:tcW w:w="1061" w:type="pct"/>
                  <w:tcBorders>
                    <w:top w:val="single" w:color="auto" w:sz="4" w:space="0"/>
                    <w:left w:val="single" w:color="auto" w:sz="4" w:space="0"/>
                    <w:bottom w:val="single" w:color="auto" w:sz="4" w:space="0"/>
                    <w:right w:val="single" w:color="auto" w:sz="4" w:space="0"/>
                  </w:tcBorders>
                </w:tcPr>
                <w:p>
                  <w:pPr>
                    <w:pStyle w:val="46"/>
                    <w:rPr>
                      <w:vertAlign w:val="superscript"/>
                    </w:rPr>
                  </w:pPr>
                  <w:r>
                    <w:t>FR1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6"/>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6"/>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47"/>
                  </w:pPr>
                  <w:r>
                    <w:t>0.32</w:t>
                  </w:r>
                </w:p>
              </w:tc>
              <w:tc>
                <w:tcPr>
                  <w:tcW w:w="1" w:type="pct"/>
                  <w:vMerge w:val="restart"/>
                  <w:tcBorders>
                    <w:top w:val="single" w:color="auto" w:sz="4" w:space="0"/>
                    <w:left w:val="single" w:color="auto" w:sz="4" w:space="0"/>
                    <w:right w:val="single" w:color="auto" w:sz="4" w:space="0"/>
                  </w:tcBorders>
                </w:tcPr>
                <w:p>
                  <w:pPr>
                    <w:pStyle w:val="47"/>
                  </w:pPr>
                  <w:r>
                    <w:t>1</w:t>
                  </w:r>
                </w:p>
              </w:tc>
              <w:tc>
                <w:tcPr>
                  <w:tcW w:w="1111" w:type="pct"/>
                  <w:tcBorders>
                    <w:top w:val="single" w:color="auto" w:sz="4" w:space="0"/>
                    <w:left w:val="single" w:color="auto" w:sz="4" w:space="0"/>
                    <w:bottom w:val="single" w:color="auto" w:sz="4" w:space="0"/>
                    <w:right w:val="single" w:color="auto" w:sz="4" w:space="0"/>
                  </w:tcBorders>
                </w:tcPr>
                <w:p>
                  <w:pPr>
                    <w:pStyle w:val="47"/>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47"/>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47"/>
                  </w:pPr>
                  <w:r>
                    <w:t xml:space="preserve">5.12 x N1 </w:t>
                  </w:r>
                  <w:r>
                    <w:rPr>
                      <w:rFonts w:cs="Arial"/>
                      <w:lang w:eastAsia="zh-CN"/>
                    </w:rPr>
                    <w:t xml:space="preserve">x 1.5 </w:t>
                  </w:r>
                  <w:r>
                    <w:t>(16 x N1</w:t>
                  </w:r>
                  <w:r>
                    <w:rPr>
                      <w:rFonts w:cs="Arial"/>
                      <w:lang w:eastAsia="zh-CN"/>
                    </w:rPr>
                    <w:t xml:space="preserve"> x 1.5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47"/>
                  </w:pPr>
                  <w:r>
                    <w:t>0.64</w:t>
                  </w:r>
                </w:p>
              </w:tc>
              <w:tc>
                <w:tcPr>
                  <w:tcW w:w="1061" w:type="pct"/>
                  <w:vMerge w:val="continue"/>
                  <w:tcBorders>
                    <w:left w:val="single" w:color="auto" w:sz="4" w:space="0"/>
                    <w:right w:val="single" w:color="auto" w:sz="4" w:space="0"/>
                  </w:tcBorders>
                </w:tcPr>
                <w:p>
                  <w:pPr>
                    <w:pStyle w:val="47"/>
                  </w:pPr>
                </w:p>
              </w:tc>
              <w:tc>
                <w:tcPr>
                  <w:tcW w:w="1111" w:type="pct"/>
                  <w:tcBorders>
                    <w:top w:val="single" w:color="auto" w:sz="4" w:space="0"/>
                    <w:left w:val="single" w:color="auto" w:sz="4" w:space="0"/>
                    <w:bottom w:val="single" w:color="auto" w:sz="4" w:space="0"/>
                    <w:right w:val="single" w:color="auto" w:sz="4" w:space="0"/>
                  </w:tcBorders>
                </w:tcPr>
                <w:p>
                  <w:pPr>
                    <w:pStyle w:val="47"/>
                  </w:pPr>
                  <w:r>
                    <w:t>17.92x N1 (28 x N1)</w:t>
                  </w:r>
                </w:p>
              </w:tc>
              <w:tc>
                <w:tcPr>
                  <w:tcW w:w="1112" w:type="pct"/>
                  <w:tcBorders>
                    <w:top w:val="single" w:color="auto" w:sz="4" w:space="0"/>
                    <w:left w:val="single" w:color="auto" w:sz="4" w:space="0"/>
                    <w:bottom w:val="single" w:color="auto" w:sz="4" w:space="0"/>
                    <w:right w:val="single" w:color="auto" w:sz="4" w:space="0"/>
                  </w:tcBorders>
                </w:tcPr>
                <w:p>
                  <w:pPr>
                    <w:pStyle w:val="47"/>
                  </w:pPr>
                  <w:r>
                    <w:t>1.28 x N1 (2 x N1)</w:t>
                  </w:r>
                </w:p>
              </w:tc>
              <w:tc>
                <w:tcPr>
                  <w:tcW w:w="1112" w:type="pct"/>
                  <w:tcBorders>
                    <w:top w:val="single" w:color="auto" w:sz="4" w:space="0"/>
                    <w:left w:val="single" w:color="auto" w:sz="4" w:space="0"/>
                    <w:bottom w:val="single" w:color="auto" w:sz="4" w:space="0"/>
                    <w:right w:val="single" w:color="auto" w:sz="4" w:space="0"/>
                  </w:tcBorders>
                </w:tcPr>
                <w:p>
                  <w:pPr>
                    <w:pStyle w:val="47"/>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47"/>
                  </w:pPr>
                  <w:r>
                    <w:t>1.28</w:t>
                  </w:r>
                </w:p>
              </w:tc>
              <w:tc>
                <w:tcPr>
                  <w:tcW w:w="1061" w:type="pct"/>
                  <w:vMerge w:val="continue"/>
                  <w:tcBorders>
                    <w:left w:val="single" w:color="auto" w:sz="4" w:space="0"/>
                    <w:right w:val="single" w:color="auto" w:sz="4" w:space="0"/>
                  </w:tcBorders>
                </w:tcPr>
                <w:p>
                  <w:pPr>
                    <w:pStyle w:val="47"/>
                  </w:pPr>
                </w:p>
              </w:tc>
              <w:tc>
                <w:tcPr>
                  <w:tcW w:w="1111" w:type="pct"/>
                  <w:tcBorders>
                    <w:top w:val="single" w:color="auto" w:sz="4" w:space="0"/>
                    <w:left w:val="single" w:color="auto" w:sz="4" w:space="0"/>
                    <w:bottom w:val="single" w:color="auto" w:sz="4" w:space="0"/>
                    <w:right w:val="single" w:color="auto" w:sz="4" w:space="0"/>
                  </w:tcBorders>
                </w:tcPr>
                <w:p>
                  <w:pPr>
                    <w:pStyle w:val="47"/>
                  </w:pPr>
                  <w:r>
                    <w:t>32 x N1 (25 x N1)</w:t>
                  </w:r>
                </w:p>
              </w:tc>
              <w:tc>
                <w:tcPr>
                  <w:tcW w:w="1112" w:type="pct"/>
                  <w:tcBorders>
                    <w:top w:val="single" w:color="auto" w:sz="4" w:space="0"/>
                    <w:left w:val="single" w:color="auto" w:sz="4" w:space="0"/>
                    <w:bottom w:val="single" w:color="auto" w:sz="4" w:space="0"/>
                    <w:right w:val="single" w:color="auto" w:sz="4" w:space="0"/>
                  </w:tcBorders>
                </w:tcPr>
                <w:p>
                  <w:pPr>
                    <w:pStyle w:val="47"/>
                  </w:pPr>
                  <w:r>
                    <w:t>1.28 x N1 (1 x N1)</w:t>
                  </w:r>
                </w:p>
              </w:tc>
              <w:tc>
                <w:tcPr>
                  <w:tcW w:w="1112" w:type="pct"/>
                  <w:tcBorders>
                    <w:top w:val="single" w:color="auto" w:sz="4" w:space="0"/>
                    <w:left w:val="single" w:color="auto" w:sz="4" w:space="0"/>
                    <w:bottom w:val="single" w:color="auto" w:sz="4" w:space="0"/>
                    <w:right w:val="single" w:color="auto" w:sz="4" w:space="0"/>
                  </w:tcBorders>
                </w:tcPr>
                <w:p>
                  <w:pPr>
                    <w:pStyle w:val="47"/>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47"/>
                  </w:pPr>
                  <w:r>
                    <w:t>2.56</w:t>
                  </w:r>
                </w:p>
              </w:tc>
              <w:tc>
                <w:tcPr>
                  <w:tcW w:w="1061" w:type="pct"/>
                  <w:vMerge w:val="continue"/>
                  <w:tcBorders>
                    <w:left w:val="single" w:color="auto" w:sz="4" w:space="0"/>
                    <w:bottom w:val="single" w:color="auto" w:sz="4" w:space="0"/>
                    <w:right w:val="single" w:color="auto" w:sz="4" w:space="0"/>
                  </w:tcBorders>
                </w:tcPr>
                <w:p>
                  <w:pPr>
                    <w:pStyle w:val="47"/>
                  </w:pPr>
                </w:p>
              </w:tc>
              <w:tc>
                <w:tcPr>
                  <w:tcW w:w="1111" w:type="pct"/>
                  <w:tcBorders>
                    <w:top w:val="single" w:color="auto" w:sz="4" w:space="0"/>
                    <w:left w:val="single" w:color="auto" w:sz="4" w:space="0"/>
                    <w:bottom w:val="single" w:color="auto" w:sz="4" w:space="0"/>
                    <w:right w:val="single" w:color="auto" w:sz="4" w:space="0"/>
                  </w:tcBorders>
                </w:tcPr>
                <w:p>
                  <w:pPr>
                    <w:pStyle w:val="47"/>
                  </w:pPr>
                  <w:r>
                    <w:t>58.88 x N1 (23 x N1)</w:t>
                  </w:r>
                </w:p>
              </w:tc>
              <w:tc>
                <w:tcPr>
                  <w:tcW w:w="1112" w:type="pct"/>
                  <w:tcBorders>
                    <w:top w:val="single" w:color="auto" w:sz="4" w:space="0"/>
                    <w:left w:val="single" w:color="auto" w:sz="4" w:space="0"/>
                    <w:bottom w:val="single" w:color="auto" w:sz="4" w:space="0"/>
                    <w:right w:val="single" w:color="auto" w:sz="4" w:space="0"/>
                  </w:tcBorders>
                </w:tcPr>
                <w:p>
                  <w:pPr>
                    <w:pStyle w:val="47"/>
                  </w:pPr>
                  <w:r>
                    <w:t>2.56 x N1 (1 x N1)</w:t>
                  </w:r>
                </w:p>
              </w:tc>
              <w:tc>
                <w:tcPr>
                  <w:tcW w:w="1112" w:type="pct"/>
                  <w:tcBorders>
                    <w:top w:val="single" w:color="auto" w:sz="4" w:space="0"/>
                    <w:left w:val="single" w:color="auto" w:sz="4" w:space="0"/>
                    <w:bottom w:val="single" w:color="auto" w:sz="4" w:space="0"/>
                    <w:right w:val="single" w:color="auto" w:sz="4" w:space="0"/>
                  </w:tcBorders>
                </w:tcPr>
                <w:p>
                  <w:pPr>
                    <w:pStyle w:val="47"/>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0"/>
                  </w:pPr>
                  <w:r>
                    <w:rPr>
                      <w:snapToGrid w:val="0"/>
                      <w:lang w:eastAsia="zh-CN"/>
                    </w:rPr>
                    <w:t>Note 1</w:t>
                  </w:r>
                  <w:r>
                    <w:t>:</w:t>
                  </w:r>
                  <w:r>
                    <w:rPr>
                      <w:lang w:val="en-US"/>
                    </w:rPr>
                    <w:tab/>
                  </w:r>
                  <w:r>
                    <w:rPr>
                      <w:szCs w:val="24"/>
                      <w:lang w:eastAsia="zh-CN"/>
                    </w:rPr>
                    <w:t>UE is not required to fulfil the requirements for 2.56s DRX cycle length for earth-moving LEO deployment</w:t>
                  </w:r>
                  <w:r>
                    <w:t>.</w:t>
                  </w:r>
                </w:p>
                <w:p>
                  <w:pPr>
                    <w:pStyle w:val="60"/>
                  </w:pPr>
                </w:p>
              </w:tc>
            </w:tr>
          </w:tbl>
          <w:p>
            <w:pPr>
              <w:rPr>
                <w:lang w:eastAsia="zh-CN"/>
              </w:rPr>
            </w:pPr>
          </w:p>
          <w:p>
            <w:pPr>
              <w:pStyle w:val="55"/>
              <w:rPr>
                <w:rFonts w:hint="eastAsia" w:eastAsia="宋体"/>
                <w:vertAlign w:val="subscript"/>
                <w:lang w:val="en-US" w:eastAsia="zh-CN"/>
              </w:rPr>
            </w:pPr>
            <w:r>
              <w:t>Table 4.2C.2.4-2: T</w:t>
            </w:r>
            <w:r>
              <w:rPr>
                <w:vertAlign w:val="subscript"/>
              </w:rPr>
              <w:t>detect,NR_Inter_</w:t>
            </w:r>
            <w:r>
              <w:rPr>
                <w:rFonts w:cs="v4.2.0"/>
                <w:vertAlign w:val="subscript"/>
              </w:rPr>
              <w:t>enh</w:t>
            </w:r>
            <w:r>
              <w:rPr>
                <w:vertAlign w:val="subscript"/>
              </w:rPr>
              <w:t>,</w:t>
            </w:r>
            <w:r>
              <w:t xml:space="preserve"> T</w:t>
            </w:r>
            <w:r>
              <w:rPr>
                <w:vertAlign w:val="subscript"/>
              </w:rPr>
              <w:t>measure,NR_Inter_</w:t>
            </w:r>
            <w:r>
              <w:rPr>
                <w:rFonts w:cs="v4.2.0"/>
                <w:vertAlign w:val="subscript"/>
              </w:rPr>
              <w:t>enh</w:t>
            </w:r>
            <w:r>
              <w:t xml:space="preserve"> and T</w:t>
            </w:r>
            <w:r>
              <w:rPr>
                <w:vertAlign w:val="subscript"/>
              </w:rPr>
              <w:t>evaluate,NR_Inter_enh</w:t>
            </w:r>
            <w:r>
              <w:rPr>
                <w:rFonts w:hint="eastAsia" w:eastAsia="宋体"/>
                <w:vertAlign w:val="subscript"/>
                <w:lang w:val="en-US" w:eastAsia="zh-CN"/>
              </w:rPr>
              <w:t xml:space="preserve"> </w:t>
            </w:r>
            <w:r>
              <w:rPr>
                <w:rFonts w:hint="eastAsia" w:ascii="Arial" w:hAnsi="Arial" w:eastAsia="宋体"/>
                <w:b/>
                <w:vertAlign w:val="baseline"/>
                <w:lang w:val="en-US" w:eastAsia="zh-CN"/>
              </w:rPr>
              <w:t xml:space="preserve">for </w:t>
            </w:r>
            <w:r>
              <w:rPr>
                <w:rFonts w:hint="eastAsia" w:eastAsia="宋体"/>
                <w:b/>
                <w:vertAlign w:val="baseline"/>
                <w:lang w:val="en-US" w:eastAsia="zh-CN"/>
              </w:rPr>
              <w:t>N</w:t>
            </w:r>
            <w:r>
              <w:rPr>
                <w:rFonts w:hint="eastAsia" w:ascii="Arial" w:hAnsi="Arial" w:eastAsia="宋体"/>
                <w:b/>
                <w:vertAlign w:val="baseline"/>
                <w:lang w:val="en-US" w:eastAsia="zh-CN"/>
              </w:rPr>
              <w:t>TN</w:t>
            </w:r>
          </w:p>
          <w:tbl>
            <w:tblPr>
              <w:tblStyle w:val="31"/>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1871"/>
              <w:gridCol w:w="2020"/>
              <w:gridCol w:w="1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pStyle w:val="46"/>
                  </w:pPr>
                  <w: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pStyle w:val="46"/>
                  </w:pPr>
                  <w:r>
                    <w:t>T</w:t>
                  </w:r>
                  <w:r>
                    <w:rPr>
                      <w:vertAlign w:val="subscript"/>
                    </w:rPr>
                    <w:t>detect,NR_</w:t>
                  </w:r>
                  <w:r>
                    <w:rPr>
                      <w:rFonts w:cs="v4.2.0"/>
                      <w:vertAlign w:val="subscript"/>
                    </w:rPr>
                    <w:t>Inter_enh</w:t>
                  </w:r>
                  <w: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pStyle w:val="46"/>
                  </w:pPr>
                  <w:r>
                    <w:t>T</w:t>
                  </w:r>
                  <w:r>
                    <w:rPr>
                      <w:vertAlign w:val="subscript"/>
                    </w:rPr>
                    <w:t>measure,NR_</w:t>
                  </w:r>
                  <w:r>
                    <w:rPr>
                      <w:rFonts w:cs="v4.2.0"/>
                      <w:vertAlign w:val="subscript"/>
                    </w:rPr>
                    <w:t>Inter_enh</w:t>
                  </w:r>
                  <w: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pStyle w:val="46"/>
                  </w:pPr>
                  <w:r>
                    <w:t>T</w:t>
                  </w:r>
                  <w:r>
                    <w:rPr>
                      <w:vertAlign w:val="subscript"/>
                    </w:rPr>
                    <w:t>evaluate,NR_</w:t>
                  </w:r>
                  <w:r>
                    <w:rPr>
                      <w:rFonts w:cs="v4.2.0"/>
                      <w:vertAlign w:val="subscript"/>
                    </w:rPr>
                    <w:t>Inter_enh</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47"/>
                    <w:rPr>
                      <w:rFonts w:eastAsia="Malgun Gothic"/>
                    </w:rPr>
                  </w:pPr>
                  <w:r>
                    <w:t>0.32</w:t>
                  </w:r>
                </w:p>
              </w:tc>
              <w:tc>
                <w:tcPr>
                  <w:tcW w:w="1407" w:type="pct"/>
                  <w:tcBorders>
                    <w:top w:val="single" w:color="auto" w:sz="4" w:space="0"/>
                    <w:left w:val="single" w:color="auto" w:sz="4" w:space="0"/>
                    <w:bottom w:val="single" w:color="auto" w:sz="4" w:space="0"/>
                    <w:right w:val="single" w:color="auto" w:sz="4" w:space="0"/>
                  </w:tcBorders>
                </w:tcPr>
                <w:p>
                  <w:pPr>
                    <w:pStyle w:val="47"/>
                    <w:rPr>
                      <w:rFonts w:eastAsia="Malgun Gothic"/>
                    </w:rPr>
                  </w:pPr>
                  <w:r>
                    <w:rPr>
                      <w:rFonts w:eastAsia="Malgun Gothic"/>
                    </w:rPr>
                    <w:t>[3.2 x M2 (10 x M2)]</w:t>
                  </w:r>
                  <w:r>
                    <w:rPr>
                      <w:vertAlign w:val="superscript"/>
                    </w:rPr>
                    <w:t xml:space="preserve"> Note 1</w:t>
                  </w:r>
                </w:p>
              </w:tc>
              <w:tc>
                <w:tcPr>
                  <w:tcW w:w="1519" w:type="pct"/>
                  <w:tcBorders>
                    <w:top w:val="single" w:color="auto" w:sz="4" w:space="0"/>
                    <w:left w:val="single" w:color="auto" w:sz="4" w:space="0"/>
                    <w:bottom w:val="single" w:color="auto" w:sz="4" w:space="0"/>
                    <w:right w:val="single" w:color="auto" w:sz="4" w:space="0"/>
                  </w:tcBorders>
                </w:tcPr>
                <w:p>
                  <w:pPr>
                    <w:pStyle w:val="47"/>
                    <w:rPr>
                      <w:rFonts w:eastAsia="Malgun Gothic"/>
                    </w:rPr>
                  </w:pPr>
                  <w:r>
                    <w:rPr>
                      <w:rFonts w:eastAsia="Malgun Gothic"/>
                    </w:rPr>
                    <w:t>[0.32 x M3 ([1] x M3)]</w:t>
                  </w:r>
                  <w:r>
                    <w:rPr>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47"/>
                    <w:rPr>
                      <w:rFonts w:eastAsia="Malgun Gothic"/>
                    </w:rPr>
                  </w:pPr>
                  <w:r>
                    <w:t>0.96 x M4 (3 x M4)</w:t>
                  </w:r>
                  <w:r>
                    <w:rPr>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47"/>
                    <w:rPr>
                      <w:rFonts w:eastAsia="Malgun Gothic"/>
                    </w:rPr>
                  </w:pPr>
                  <w:r>
                    <w:t>0.64</w:t>
                  </w:r>
                </w:p>
              </w:tc>
              <w:tc>
                <w:tcPr>
                  <w:tcW w:w="1407" w:type="pct"/>
                  <w:tcBorders>
                    <w:top w:val="single" w:color="auto" w:sz="4" w:space="0"/>
                    <w:left w:val="single" w:color="auto" w:sz="4" w:space="0"/>
                    <w:bottom w:val="single" w:color="auto" w:sz="4" w:space="0"/>
                    <w:right w:val="single" w:color="auto" w:sz="4" w:space="0"/>
                  </w:tcBorders>
                </w:tcPr>
                <w:p>
                  <w:pPr>
                    <w:pStyle w:val="47"/>
                    <w:rPr>
                      <w:rFonts w:eastAsia="Malgun Gothic"/>
                    </w:rPr>
                  </w:pPr>
                  <w:r>
                    <w:rPr>
                      <w:rFonts w:eastAsia="Malgun Gothic"/>
                    </w:rPr>
                    <w:t>[6.4 (10)]</w:t>
                  </w:r>
                </w:p>
              </w:tc>
              <w:tc>
                <w:tcPr>
                  <w:tcW w:w="1519" w:type="pct"/>
                  <w:tcBorders>
                    <w:top w:val="single" w:color="auto" w:sz="4" w:space="0"/>
                    <w:left w:val="single" w:color="auto" w:sz="4" w:space="0"/>
                    <w:bottom w:val="single" w:color="auto" w:sz="4" w:space="0"/>
                    <w:right w:val="single" w:color="auto" w:sz="4" w:space="0"/>
                  </w:tcBorders>
                </w:tcPr>
                <w:p>
                  <w:pPr>
                    <w:pStyle w:val="47"/>
                    <w:rPr>
                      <w:rFonts w:eastAsia="Malgun Gothic"/>
                    </w:rPr>
                  </w:pPr>
                  <w:r>
                    <w:rPr>
                      <w:rFonts w:eastAsia="Malgun Gothic"/>
                    </w:rPr>
                    <w:t>[0.64 (1)]</w:t>
                  </w:r>
                </w:p>
              </w:tc>
              <w:tc>
                <w:tcPr>
                  <w:tcW w:w="1340" w:type="pct"/>
                  <w:tcBorders>
                    <w:top w:val="single" w:color="auto" w:sz="4" w:space="0"/>
                    <w:left w:val="single" w:color="auto" w:sz="4" w:space="0"/>
                    <w:bottom w:val="single" w:color="auto" w:sz="4" w:space="0"/>
                    <w:right w:val="single" w:color="auto" w:sz="4" w:space="0"/>
                  </w:tcBorders>
                </w:tcPr>
                <w:p>
                  <w:pPr>
                    <w:pStyle w:val="47"/>
                    <w:rPr>
                      <w:rFonts w:eastAsia="Malgun Gothic"/>
                    </w:rPr>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47"/>
                    <w:rPr>
                      <w:rFonts w:eastAsia="Malgun Gothic"/>
                    </w:rPr>
                  </w:pPr>
                  <w:r>
                    <w:t>1.28</w:t>
                  </w:r>
                </w:p>
              </w:tc>
              <w:tc>
                <w:tcPr>
                  <w:tcW w:w="1407" w:type="pct"/>
                  <w:tcBorders>
                    <w:top w:val="single" w:color="auto" w:sz="4" w:space="0"/>
                    <w:left w:val="single" w:color="auto" w:sz="4" w:space="0"/>
                    <w:bottom w:val="single" w:color="auto" w:sz="4" w:space="0"/>
                    <w:right w:val="single" w:color="auto" w:sz="4" w:space="0"/>
                  </w:tcBorders>
                </w:tcPr>
                <w:p>
                  <w:pPr>
                    <w:pStyle w:val="47"/>
                    <w:rPr>
                      <w:rFonts w:eastAsia="Malgun Gothic"/>
                    </w:rPr>
                  </w:pPr>
                  <w:r>
                    <w:rPr>
                      <w:rFonts w:eastAsia="Malgun Gothic"/>
                    </w:rPr>
                    <w:t>[10.24 (8)]</w:t>
                  </w:r>
                </w:p>
              </w:tc>
              <w:tc>
                <w:tcPr>
                  <w:tcW w:w="1519" w:type="pct"/>
                  <w:tcBorders>
                    <w:top w:val="single" w:color="auto" w:sz="4" w:space="0"/>
                    <w:left w:val="single" w:color="auto" w:sz="4" w:space="0"/>
                    <w:bottom w:val="single" w:color="auto" w:sz="4" w:space="0"/>
                    <w:right w:val="single" w:color="auto" w:sz="4" w:space="0"/>
                  </w:tcBorders>
                </w:tcPr>
                <w:p>
                  <w:pPr>
                    <w:pStyle w:val="47"/>
                    <w:rPr>
                      <w:rFonts w:eastAsia="Malgun Gothic"/>
                    </w:rPr>
                  </w:pPr>
                  <w:r>
                    <w:rPr>
                      <w:rFonts w:eastAsia="Malgun Gothic"/>
                      <w:szCs w:val="24"/>
                      <w:lang w:eastAsia="zh-CN"/>
                    </w:rPr>
                    <w:t>1.28 (1)</w:t>
                  </w:r>
                </w:p>
              </w:tc>
              <w:tc>
                <w:tcPr>
                  <w:tcW w:w="1340" w:type="pct"/>
                  <w:tcBorders>
                    <w:top w:val="single" w:color="auto" w:sz="4" w:space="0"/>
                    <w:left w:val="single" w:color="auto" w:sz="4" w:space="0"/>
                    <w:bottom w:val="single" w:color="auto" w:sz="4" w:space="0"/>
                    <w:right w:val="single" w:color="auto" w:sz="4" w:space="0"/>
                  </w:tcBorders>
                </w:tcPr>
                <w:p>
                  <w:pPr>
                    <w:pStyle w:val="47"/>
                    <w:rPr>
                      <w:rFonts w:eastAsia="Malgun Gothic"/>
                    </w:rPr>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47"/>
                    <w:rPr>
                      <w:rFonts w:eastAsia="Malgun Gothic"/>
                    </w:rPr>
                  </w:pPr>
                  <w:r>
                    <w:t>2.56</w:t>
                  </w:r>
                </w:p>
              </w:tc>
              <w:tc>
                <w:tcPr>
                  <w:tcW w:w="1407" w:type="pct"/>
                  <w:tcBorders>
                    <w:top w:val="single" w:color="auto" w:sz="4" w:space="0"/>
                    <w:left w:val="single" w:color="auto" w:sz="4" w:space="0"/>
                    <w:bottom w:val="single" w:color="auto" w:sz="4" w:space="0"/>
                    <w:right w:val="single" w:color="auto" w:sz="4" w:space="0"/>
                  </w:tcBorders>
                </w:tcPr>
                <w:p>
                  <w:pPr>
                    <w:pStyle w:val="47"/>
                    <w:rPr>
                      <w:rFonts w:eastAsia="Malgun Gothic"/>
                    </w:rPr>
                  </w:pPr>
                  <w:r>
                    <w:t>58.88 (23)</w:t>
                  </w:r>
                </w:p>
              </w:tc>
              <w:tc>
                <w:tcPr>
                  <w:tcW w:w="1519" w:type="pct"/>
                  <w:tcBorders>
                    <w:top w:val="single" w:color="auto" w:sz="4" w:space="0"/>
                    <w:left w:val="single" w:color="auto" w:sz="4" w:space="0"/>
                    <w:bottom w:val="single" w:color="auto" w:sz="4" w:space="0"/>
                    <w:right w:val="single" w:color="auto" w:sz="4" w:space="0"/>
                  </w:tcBorders>
                </w:tcPr>
                <w:p>
                  <w:pPr>
                    <w:pStyle w:val="47"/>
                    <w:rPr>
                      <w:rFonts w:eastAsia="Malgun Gothic"/>
                    </w:rPr>
                  </w:pPr>
                  <w:r>
                    <w:t>2.56 (1)</w:t>
                  </w:r>
                </w:p>
              </w:tc>
              <w:tc>
                <w:tcPr>
                  <w:tcW w:w="1340" w:type="pct"/>
                  <w:tcBorders>
                    <w:top w:val="single" w:color="auto" w:sz="4" w:space="0"/>
                    <w:left w:val="single" w:color="auto" w:sz="4" w:space="0"/>
                    <w:bottom w:val="single" w:color="auto" w:sz="4" w:space="0"/>
                    <w:right w:val="single" w:color="auto" w:sz="4" w:space="0"/>
                  </w:tcBorders>
                </w:tcPr>
                <w:p>
                  <w:pPr>
                    <w:pStyle w:val="47"/>
                    <w:rPr>
                      <w:rFonts w:eastAsia="Malgun Gothic"/>
                    </w:rPr>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0"/>
                    <w:rPr>
                      <w:rFonts w:eastAsia="Malgun Gothic"/>
                    </w:rPr>
                  </w:pPr>
                  <w:r>
                    <w:rPr>
                      <w:lang w:eastAsia="zh-CN"/>
                    </w:rPr>
                    <w:t>Note 1:</w:t>
                  </w:r>
                  <w:r>
                    <w:rPr>
                      <w:rFonts w:eastAsia="CG Times (WN)"/>
                      <w:lang w:val="en-US" w:eastAsia="zh-CN"/>
                    </w:rPr>
                    <w:tab/>
                  </w:r>
                  <w:r>
                    <w:t>W</w:t>
                  </w:r>
                  <w:r>
                    <w:rPr>
                      <w:lang w:eastAsia="zh-CN"/>
                    </w:rPr>
                    <w:t>hen SMTC &lt; = 40 ms, M2 = M3 = M4 = 1; and when SMTC &gt; 40 ms, M2 = 1.5, M3 = M4 = 2</w:t>
                  </w:r>
                </w:p>
              </w:tc>
            </w:tr>
          </w:tbl>
          <w:p>
            <w:pPr>
              <w:pStyle w:val="74"/>
              <w:widowControl/>
              <w:numPr>
                <w:ilvl w:val="-1"/>
                <w:numId w:val="0"/>
              </w:numPr>
              <w:overflowPunct w:val="0"/>
              <w:autoSpaceDE w:val="0"/>
              <w:autoSpaceDN w:val="0"/>
              <w:adjustRightInd w:val="0"/>
              <w:spacing w:after="180" w:line="276" w:lineRule="auto"/>
              <w:ind w:left="0" w:firstLine="0" w:firstLineChars="0"/>
              <w:jc w:val="left"/>
              <w:textAlignment w:val="baseline"/>
              <w:rPr>
                <w:rFonts w:ascii="Times New Roman" w:hAnsi="Times New Roman" w:cs="Times New Roman"/>
                <w:lang w:eastAsia="ja-JP"/>
              </w:rPr>
            </w:pPr>
          </w:p>
          <w:p>
            <w:pPr>
              <w:spacing w:before="156" w:beforeLines="50"/>
              <w:rPr>
                <w:rFonts w:ascii="Times New Roman" w:hAnsi="Times New Roman" w:cs="Times New Roman"/>
                <w:b/>
              </w:rPr>
            </w:pPr>
            <w:r>
              <w:rPr>
                <w:rFonts w:ascii="Times New Roman" w:hAnsi="Times New Roman" w:cs="Times New Roman"/>
                <w:b/>
              </w:rPr>
              <w:t>NTN to TN (NR to NR):</w:t>
            </w:r>
          </w:p>
          <w:p>
            <w:pPr>
              <w:spacing w:before="156" w:beforeLines="50"/>
              <w:rPr>
                <w:rFonts w:hint="default" w:ascii="Times New Roman" w:hAnsi="Times New Roman" w:eastAsia="宋体" w:cs="Times New Roman"/>
                <w:b w:val="0"/>
                <w:bCs/>
                <w:lang w:val="en-US" w:eastAsia="zh-CN"/>
              </w:rPr>
            </w:pPr>
            <w:r>
              <w:rPr>
                <w:rFonts w:hint="eastAsia" w:eastAsia="宋体" w:cs="Times New Roman"/>
                <w:b w:val="0"/>
                <w:bCs/>
                <w:lang w:val="en-US" w:eastAsia="zh-CN"/>
              </w:rPr>
              <w:t>Same as TN to NTN.</w:t>
            </w:r>
          </w:p>
          <w:p>
            <w:pPr>
              <w:spacing w:before="156" w:beforeLines="50"/>
              <w:rPr>
                <w:rFonts w:ascii="Times New Roman" w:hAnsi="Times New Roman" w:cs="Times New Roman"/>
                <w:b/>
              </w:rPr>
            </w:pPr>
            <w:r>
              <w:rPr>
                <w:rFonts w:ascii="Times New Roman" w:hAnsi="Times New Roman" w:cs="Times New Roman"/>
                <w:b/>
              </w:rPr>
              <w:t>NTN to TN (NR to LTE):</w:t>
            </w:r>
          </w:p>
          <w:p>
            <w:pPr>
              <w:pStyle w:val="55"/>
              <w:rPr>
                <w:rFonts w:cs="v4.2.0"/>
                <w:vertAlign w:val="subscript"/>
                <w:lang w:eastAsia="zh-CN"/>
              </w:rPr>
            </w:pPr>
            <w:r>
              <w:rPr>
                <w:snapToGrid w:val="0"/>
              </w:rPr>
              <w:t xml:space="preserve">Table 4.2.2.5-1: </w:t>
            </w:r>
            <w:r>
              <w:t>T</w:t>
            </w:r>
            <w:r>
              <w:rPr>
                <w:vertAlign w:val="subscript"/>
              </w:rPr>
              <w:t>detect,</w:t>
            </w:r>
            <w:r>
              <w:rPr>
                <w:vertAlign w:val="subscript"/>
                <w:lang w:eastAsia="zh-CN"/>
              </w:rPr>
              <w:t>E</w:t>
            </w:r>
            <w:r>
              <w:rPr>
                <w:vertAlign w:val="subscript"/>
              </w:rPr>
              <w:t>UTRAN</w:t>
            </w:r>
            <w:r>
              <w:rPr>
                <w:snapToGrid w:val="0"/>
              </w:rPr>
              <w:t xml:space="preserve">, </w:t>
            </w:r>
            <w:r>
              <w:t>T</w:t>
            </w:r>
            <w:r>
              <w:rPr>
                <w:vertAlign w:val="subscript"/>
              </w:rPr>
              <w:t>measure,</w:t>
            </w:r>
            <w:r>
              <w:rPr>
                <w:vertAlign w:val="subscript"/>
                <w:lang w:eastAsia="zh-CN"/>
              </w:rPr>
              <w:t>E</w:t>
            </w:r>
            <w:r>
              <w:rPr>
                <w:vertAlign w:val="subscript"/>
              </w:rPr>
              <w:t>UTRAN,</w:t>
            </w:r>
            <w:r>
              <w:t xml:space="preserve"> and </w:t>
            </w:r>
            <w:r>
              <w:rPr>
                <w:rFonts w:cs="v4.2.0"/>
              </w:rPr>
              <w:t>T</w:t>
            </w:r>
            <w:r>
              <w:rPr>
                <w:rFonts w:cs="v4.2.0"/>
                <w:vertAlign w:val="subscript"/>
              </w:rPr>
              <w:t>evaluate,</w:t>
            </w:r>
            <w:r>
              <w:rPr>
                <w:rFonts w:cs="v4.2.0"/>
                <w:vertAlign w:val="subscript"/>
                <w:lang w:eastAsia="zh-CN"/>
              </w:rPr>
              <w:t>E</w:t>
            </w:r>
            <w:r>
              <w:rPr>
                <w:rFonts w:cs="v4.2.0"/>
                <w:vertAlign w:val="subscript"/>
              </w:rPr>
              <w:t>UTRAN</w:t>
            </w:r>
          </w:p>
          <w:tbl>
            <w:tblPr>
              <w:tblStyle w:val="31"/>
              <w:tblW w:w="30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1215"/>
              <w:gridCol w:w="1330"/>
              <w:gridCol w:w="1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46"/>
                    <w:rPr>
                      <w:rFonts w:cs="Arial"/>
                      <w:snapToGrid w:val="0"/>
                    </w:rPr>
                  </w:pPr>
                  <w:r>
                    <w:t>DRX cycle length [s]</w:t>
                  </w:r>
                </w:p>
              </w:tc>
              <w:tc>
                <w:tcPr>
                  <w:tcW w:w="1263" w:type="pct"/>
                  <w:tcBorders>
                    <w:top w:val="single" w:color="auto" w:sz="4" w:space="0"/>
                    <w:left w:val="single" w:color="auto" w:sz="4" w:space="0"/>
                    <w:bottom w:val="single" w:color="auto" w:sz="4" w:space="0"/>
                    <w:right w:val="single" w:color="auto" w:sz="4" w:space="0"/>
                  </w:tcBorders>
                </w:tcPr>
                <w:p>
                  <w:pPr>
                    <w:pStyle w:val="46"/>
                    <w:rPr>
                      <w:rFonts w:cs="Arial"/>
                    </w:rPr>
                  </w:pPr>
                  <w:r>
                    <w:t>T</w:t>
                  </w:r>
                  <w:r>
                    <w:rPr>
                      <w:vertAlign w:val="subscript"/>
                    </w:rPr>
                    <w:t>detect,EUTRAN</w:t>
                  </w:r>
                  <w:r>
                    <w:t xml:space="preserve"> [s] (number of DRX cycles)</w:t>
                  </w:r>
                </w:p>
              </w:tc>
              <w:tc>
                <w:tcPr>
                  <w:tcW w:w="1378" w:type="pct"/>
                  <w:tcBorders>
                    <w:top w:val="single" w:color="auto" w:sz="4" w:space="0"/>
                    <w:left w:val="single" w:color="auto" w:sz="4" w:space="0"/>
                    <w:bottom w:val="single" w:color="auto" w:sz="4" w:space="0"/>
                    <w:right w:val="single" w:color="auto" w:sz="4" w:space="0"/>
                  </w:tcBorders>
                </w:tcPr>
                <w:p>
                  <w:pPr>
                    <w:pStyle w:val="46"/>
                    <w:rPr>
                      <w:rFonts w:cs="Arial"/>
                      <w:snapToGrid w:val="0"/>
                    </w:rPr>
                  </w:pPr>
                  <w:r>
                    <w:t>T</w:t>
                  </w:r>
                  <w:r>
                    <w:rPr>
                      <w:vertAlign w:val="subscript"/>
                    </w:rPr>
                    <w:t>measure,EUTRAN</w:t>
                  </w:r>
                  <w:r>
                    <w:t xml:space="preserve"> [s] (number of DRX cycles)</w:t>
                  </w:r>
                </w:p>
              </w:tc>
              <w:tc>
                <w:tcPr>
                  <w:tcW w:w="1739" w:type="pct"/>
                  <w:tcBorders>
                    <w:top w:val="single" w:color="auto" w:sz="4" w:space="0"/>
                    <w:left w:val="single" w:color="auto" w:sz="4" w:space="0"/>
                    <w:bottom w:val="single" w:color="auto" w:sz="4" w:space="0"/>
                    <w:right w:val="single" w:color="auto" w:sz="4" w:space="0"/>
                  </w:tcBorders>
                </w:tcPr>
                <w:p>
                  <w:pPr>
                    <w:pStyle w:val="46"/>
                    <w:rPr>
                      <w:rFonts w:cs="Arial"/>
                      <w:vertAlign w:val="subscript"/>
                      <w:lang w:eastAsia="zh-CN"/>
                    </w:rPr>
                  </w:pPr>
                  <w:r>
                    <w:t>T</w:t>
                  </w:r>
                  <w:r>
                    <w:rPr>
                      <w:vertAlign w:val="subscript"/>
                    </w:rPr>
                    <w:t>evaluate,EUTRAN</w:t>
                  </w:r>
                </w:p>
                <w:p>
                  <w:pPr>
                    <w:pStyle w:val="46"/>
                    <w:rPr>
                      <w:rFonts w:cs="Arial"/>
                    </w:rPr>
                  </w:pPr>
                  <w:r>
                    <w:rPr>
                      <w:rFonts w:cs="Arial"/>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47"/>
                    <w:rPr>
                      <w:snapToGrid w:val="0"/>
                    </w:rPr>
                  </w:pPr>
                  <w:r>
                    <w:t>0.32</w:t>
                  </w:r>
                </w:p>
              </w:tc>
              <w:tc>
                <w:tcPr>
                  <w:tcW w:w="1263" w:type="pct"/>
                  <w:tcBorders>
                    <w:top w:val="single" w:color="auto" w:sz="4" w:space="0"/>
                    <w:left w:val="single" w:color="auto" w:sz="4" w:space="0"/>
                    <w:bottom w:val="single" w:color="auto" w:sz="4" w:space="0"/>
                    <w:right w:val="single" w:color="auto" w:sz="4" w:space="0"/>
                  </w:tcBorders>
                </w:tcPr>
                <w:p>
                  <w:pPr>
                    <w:pStyle w:val="47"/>
                    <w:rPr>
                      <w:snapToGrid w:val="0"/>
                    </w:rPr>
                  </w:pPr>
                  <w:r>
                    <w:t>11.52 (36)</w:t>
                  </w:r>
                </w:p>
              </w:tc>
              <w:tc>
                <w:tcPr>
                  <w:tcW w:w="1378" w:type="pct"/>
                  <w:tcBorders>
                    <w:top w:val="single" w:color="auto" w:sz="4" w:space="0"/>
                    <w:left w:val="single" w:color="auto" w:sz="4" w:space="0"/>
                    <w:bottom w:val="single" w:color="auto" w:sz="4" w:space="0"/>
                    <w:right w:val="single" w:color="auto" w:sz="4" w:space="0"/>
                  </w:tcBorders>
                </w:tcPr>
                <w:p>
                  <w:pPr>
                    <w:pStyle w:val="47"/>
                    <w:rPr>
                      <w:snapToGrid w:val="0"/>
                    </w:rPr>
                  </w:pPr>
                  <w:r>
                    <w:rPr>
                      <w:snapToGrid w:val="0"/>
                    </w:rPr>
                    <w:t>1.28 (4)</w:t>
                  </w:r>
                </w:p>
              </w:tc>
              <w:tc>
                <w:tcPr>
                  <w:tcW w:w="1739" w:type="pct"/>
                  <w:tcBorders>
                    <w:top w:val="single" w:color="auto" w:sz="4" w:space="0"/>
                    <w:left w:val="single" w:color="auto" w:sz="4" w:space="0"/>
                    <w:bottom w:val="single" w:color="auto" w:sz="4" w:space="0"/>
                    <w:right w:val="single" w:color="auto" w:sz="4" w:space="0"/>
                  </w:tcBorders>
                </w:tcPr>
                <w:p>
                  <w:pPr>
                    <w:pStyle w:val="47"/>
                    <w:rPr>
                      <w:snapToGrid w:val="0"/>
                    </w:rPr>
                  </w:pPr>
                  <w:r>
                    <w:t>5.12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47"/>
                    <w:rPr>
                      <w:snapToGrid w:val="0"/>
                    </w:rPr>
                  </w:pPr>
                  <w:r>
                    <w:t>0.64</w:t>
                  </w:r>
                </w:p>
              </w:tc>
              <w:tc>
                <w:tcPr>
                  <w:tcW w:w="1263" w:type="pct"/>
                  <w:tcBorders>
                    <w:top w:val="single" w:color="auto" w:sz="4" w:space="0"/>
                    <w:left w:val="single" w:color="auto" w:sz="4" w:space="0"/>
                    <w:bottom w:val="single" w:color="auto" w:sz="4" w:space="0"/>
                    <w:right w:val="single" w:color="auto" w:sz="4" w:space="0"/>
                  </w:tcBorders>
                </w:tcPr>
                <w:p>
                  <w:pPr>
                    <w:pStyle w:val="47"/>
                    <w:rPr>
                      <w:snapToGrid w:val="0"/>
                    </w:rPr>
                  </w:pPr>
                  <w:r>
                    <w:t>17.92 (28)</w:t>
                  </w:r>
                </w:p>
              </w:tc>
              <w:tc>
                <w:tcPr>
                  <w:tcW w:w="1378" w:type="pct"/>
                  <w:tcBorders>
                    <w:top w:val="single" w:color="auto" w:sz="4" w:space="0"/>
                    <w:left w:val="single" w:color="auto" w:sz="4" w:space="0"/>
                    <w:bottom w:val="single" w:color="auto" w:sz="4" w:space="0"/>
                    <w:right w:val="single" w:color="auto" w:sz="4" w:space="0"/>
                  </w:tcBorders>
                </w:tcPr>
                <w:p>
                  <w:pPr>
                    <w:pStyle w:val="47"/>
                    <w:rPr>
                      <w:snapToGrid w:val="0"/>
                    </w:rPr>
                  </w:pPr>
                  <w:r>
                    <w:rPr>
                      <w:snapToGrid w:val="0"/>
                    </w:rPr>
                    <w:t>1.28 (2)</w:t>
                  </w:r>
                </w:p>
              </w:tc>
              <w:tc>
                <w:tcPr>
                  <w:tcW w:w="1739" w:type="pct"/>
                  <w:tcBorders>
                    <w:top w:val="single" w:color="auto" w:sz="4" w:space="0"/>
                    <w:left w:val="single" w:color="auto" w:sz="4" w:space="0"/>
                    <w:bottom w:val="single" w:color="auto" w:sz="4" w:space="0"/>
                    <w:right w:val="single" w:color="auto" w:sz="4" w:space="0"/>
                  </w:tcBorders>
                </w:tcPr>
                <w:p>
                  <w:pPr>
                    <w:pStyle w:val="47"/>
                    <w:rPr>
                      <w:snapToGrid w:val="0"/>
                    </w:rPr>
                  </w:pPr>
                  <w:r>
                    <w:t>5.12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47"/>
                    <w:rPr>
                      <w:snapToGrid w:val="0"/>
                    </w:rPr>
                  </w:pPr>
                  <w:r>
                    <w:t>1.28</w:t>
                  </w:r>
                </w:p>
              </w:tc>
              <w:tc>
                <w:tcPr>
                  <w:tcW w:w="1263" w:type="pct"/>
                  <w:tcBorders>
                    <w:top w:val="single" w:color="auto" w:sz="4" w:space="0"/>
                    <w:left w:val="single" w:color="auto" w:sz="4" w:space="0"/>
                    <w:bottom w:val="single" w:color="auto" w:sz="4" w:space="0"/>
                    <w:right w:val="single" w:color="auto" w:sz="4" w:space="0"/>
                  </w:tcBorders>
                </w:tcPr>
                <w:p>
                  <w:pPr>
                    <w:pStyle w:val="47"/>
                    <w:rPr>
                      <w:snapToGrid w:val="0"/>
                    </w:rPr>
                  </w:pPr>
                  <w:r>
                    <w:t>32(25)</w:t>
                  </w:r>
                </w:p>
              </w:tc>
              <w:tc>
                <w:tcPr>
                  <w:tcW w:w="1378" w:type="pct"/>
                  <w:tcBorders>
                    <w:top w:val="single" w:color="auto" w:sz="4" w:space="0"/>
                    <w:left w:val="single" w:color="auto" w:sz="4" w:space="0"/>
                    <w:bottom w:val="single" w:color="auto" w:sz="4" w:space="0"/>
                    <w:right w:val="single" w:color="auto" w:sz="4" w:space="0"/>
                  </w:tcBorders>
                </w:tcPr>
                <w:p>
                  <w:pPr>
                    <w:pStyle w:val="47"/>
                    <w:rPr>
                      <w:snapToGrid w:val="0"/>
                    </w:rPr>
                  </w:pPr>
                  <w:r>
                    <w:rPr>
                      <w:snapToGrid w:val="0"/>
                    </w:rPr>
                    <w:t>1.28 (1)</w:t>
                  </w:r>
                </w:p>
              </w:tc>
              <w:tc>
                <w:tcPr>
                  <w:tcW w:w="1739" w:type="pct"/>
                  <w:tcBorders>
                    <w:top w:val="single" w:color="auto" w:sz="4" w:space="0"/>
                    <w:left w:val="single" w:color="auto" w:sz="4" w:space="0"/>
                    <w:bottom w:val="single" w:color="auto" w:sz="4" w:space="0"/>
                    <w:right w:val="single" w:color="auto" w:sz="4" w:space="0"/>
                  </w:tcBorders>
                </w:tcPr>
                <w:p>
                  <w:pPr>
                    <w:pStyle w:val="47"/>
                    <w:rPr>
                      <w:snapToGrid w:val="0"/>
                    </w:rPr>
                  </w:pPr>
                  <w:r>
                    <w:t>6.4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47"/>
                    <w:rPr>
                      <w:snapToGrid w:val="0"/>
                    </w:rPr>
                  </w:pPr>
                  <w:r>
                    <w:t>2.56</w:t>
                  </w:r>
                </w:p>
              </w:tc>
              <w:tc>
                <w:tcPr>
                  <w:tcW w:w="1263" w:type="pct"/>
                  <w:tcBorders>
                    <w:top w:val="single" w:color="auto" w:sz="4" w:space="0"/>
                    <w:left w:val="single" w:color="auto" w:sz="4" w:space="0"/>
                    <w:bottom w:val="single" w:color="auto" w:sz="4" w:space="0"/>
                    <w:right w:val="single" w:color="auto" w:sz="4" w:space="0"/>
                  </w:tcBorders>
                </w:tcPr>
                <w:p>
                  <w:pPr>
                    <w:pStyle w:val="47"/>
                    <w:rPr>
                      <w:snapToGrid w:val="0"/>
                    </w:rPr>
                  </w:pPr>
                  <w:r>
                    <w:t>58.88 (23)</w:t>
                  </w:r>
                </w:p>
              </w:tc>
              <w:tc>
                <w:tcPr>
                  <w:tcW w:w="1378" w:type="pct"/>
                  <w:tcBorders>
                    <w:top w:val="single" w:color="auto" w:sz="4" w:space="0"/>
                    <w:left w:val="single" w:color="auto" w:sz="4" w:space="0"/>
                    <w:bottom w:val="single" w:color="auto" w:sz="4" w:space="0"/>
                    <w:right w:val="single" w:color="auto" w:sz="4" w:space="0"/>
                  </w:tcBorders>
                </w:tcPr>
                <w:p>
                  <w:pPr>
                    <w:pStyle w:val="47"/>
                    <w:rPr>
                      <w:snapToGrid w:val="0"/>
                    </w:rPr>
                  </w:pPr>
                  <w:r>
                    <w:rPr>
                      <w:snapToGrid w:val="0"/>
                    </w:rPr>
                    <w:t>2.56 (1)</w:t>
                  </w:r>
                </w:p>
              </w:tc>
              <w:tc>
                <w:tcPr>
                  <w:tcW w:w="1739" w:type="pct"/>
                  <w:tcBorders>
                    <w:top w:val="single" w:color="auto" w:sz="4" w:space="0"/>
                    <w:left w:val="single" w:color="auto" w:sz="4" w:space="0"/>
                    <w:bottom w:val="single" w:color="auto" w:sz="4" w:space="0"/>
                    <w:right w:val="single" w:color="auto" w:sz="4" w:space="0"/>
                  </w:tcBorders>
                </w:tcPr>
                <w:p>
                  <w:pPr>
                    <w:pStyle w:val="47"/>
                    <w:rPr>
                      <w:snapToGrid w:val="0"/>
                    </w:rPr>
                  </w:pPr>
                  <w:r>
                    <w:t>7.68 (3)</w:t>
                  </w:r>
                </w:p>
              </w:tc>
            </w:tr>
          </w:tbl>
          <w:p>
            <w:pPr>
              <w:spacing w:before="156" w:beforeLines="50"/>
              <w:rPr>
                <w:rFonts w:hint="eastAsia" w:ascii="Times New Roman" w:hAnsi="Times New Roman" w:eastAsia="宋体" w:cs="Times New Roman"/>
                <w:lang w:val="en-US" w:eastAsia="zh-CN"/>
              </w:rPr>
            </w:pP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 xml:space="preserve">From my perspective, the cell re-selection measurement requirements in legacy NTN can be reused for 2Rx and 1Rx RedCap UEs.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r>
        <w:rPr>
          <w:rFonts w:hint="eastAsia" w:eastAsia="宋体"/>
          <w:b/>
          <w:bCs/>
          <w:sz w:val="20"/>
          <w:szCs w:val="20"/>
          <w:lang w:val="en-US" w:eastAsia="zh-CN"/>
        </w:rPr>
        <w:t>Proposal 1: The measurement requirements for inter-frequency and inter-RAT measurement requirements in legacy NTN shall be reused for 2Rx and 1Rx RedCap UEs when considering TN to  NTN (NR-NR) and NTN to TN (NR-NR).</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b/>
          <w:bCs/>
          <w:sz w:val="20"/>
          <w:szCs w:val="20"/>
          <w:lang w:val="en-US" w:eastAsia="zh-CN"/>
        </w:rPr>
      </w:pPr>
      <w:r>
        <w:rPr>
          <w:rFonts w:hint="eastAsia" w:eastAsia="宋体"/>
          <w:b/>
          <w:bCs/>
          <w:sz w:val="20"/>
          <w:szCs w:val="20"/>
          <w:lang w:val="en-US" w:eastAsia="zh-CN"/>
        </w:rPr>
        <w:t>Proposal 2: For inter-RAT measurement, the orginal accuracy margin shall be maintained for 1Rx RedCap UE in NR NTN if the legacy requirements are reused.</w:t>
      </w:r>
    </w:p>
    <w:p>
      <w:pPr>
        <w:pStyle w:val="9"/>
        <w:numPr>
          <w:ilvl w:val="0"/>
          <w:numId w:val="6"/>
        </w:numPr>
        <w:overflowPunct w:val="0"/>
        <w:autoSpaceDE w:val="0"/>
        <w:autoSpaceDN w:val="0"/>
        <w:adjustRightInd w:val="0"/>
        <w:spacing w:before="120" w:after="120" w:line="360" w:lineRule="auto"/>
        <w:jc w:val="both"/>
        <w:textAlignment w:val="baseline"/>
        <w:rPr>
          <w:rFonts w:hint="eastAsia" w:eastAsia="Times New Roman"/>
          <w:b w:val="0"/>
          <w:bCs w:val="0"/>
          <w:i w:val="0"/>
          <w:iCs w:val="0"/>
          <w:sz w:val="20"/>
          <w:u w:val="none"/>
          <w:lang w:val="en-US" w:eastAsia="zh-CN"/>
        </w:rPr>
      </w:pPr>
      <w:r>
        <w:rPr>
          <w:rFonts w:hint="eastAsia" w:eastAsia="Times New Roman"/>
          <w:b w:val="0"/>
          <w:bCs w:val="0"/>
          <w:i w:val="0"/>
          <w:iCs w:val="0"/>
          <w:sz w:val="20"/>
          <w:u w:val="none"/>
          <w:lang w:val="en-US" w:eastAsia="zh-CN"/>
        </w:rPr>
        <w:t>Measurements of NTN-NTN for 1Rx and 2Rx RedCap UE</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NTN-NTN (earth-fixed)</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Intra-frequency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vMerge w:val="continue"/>
          </w:tcPr>
          <w:p>
            <w:pPr>
              <w:spacing w:before="156" w:beforeLines="50"/>
              <w:rPr>
                <w:rFonts w:ascii="Times New Roman" w:hAnsi="Times New Roman" w:cs="Times New Roman"/>
                <w:lang w:val="en-GB"/>
              </w:rPr>
            </w:pP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vMerge w:val="restart"/>
          </w:tcPr>
          <w:p>
            <w:pPr>
              <w:spacing w:before="156" w:beforeLines="50"/>
              <w:rPr>
                <w:rFonts w:ascii="Times New Roman" w:hAnsi="Times New Roman" w:cs="Times New Roman"/>
                <w:lang w:val="en-GB"/>
              </w:rPr>
            </w:pPr>
            <w:r>
              <w:rPr>
                <w:rFonts w:ascii="Times New Roman" w:hAnsi="Times New Roman" w:cs="Times New Roman"/>
                <w:lang w:val="en-GB"/>
              </w:rPr>
              <w:t>NTN-NTN (earth-moving)</w:t>
            </w: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Intra-frequency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2765" w:type="dxa"/>
            <w:vMerge w:val="continue"/>
          </w:tcPr>
          <w:p>
            <w:pPr>
              <w:spacing w:before="156" w:beforeLines="50"/>
              <w:rPr>
                <w:rFonts w:ascii="Times New Roman" w:hAnsi="Times New Roman" w:cs="Times New Roman"/>
                <w:lang w:val="en-GB"/>
              </w:rPr>
            </w:pPr>
          </w:p>
        </w:tc>
        <w:tc>
          <w:tcPr>
            <w:tcW w:w="2765" w:type="dxa"/>
          </w:tcPr>
          <w:p>
            <w:pPr>
              <w:spacing w:before="156" w:beforeLines="50"/>
              <w:rPr>
                <w:rFonts w:ascii="Times New Roman" w:hAnsi="Times New Roman" w:cs="Times New Roman"/>
                <w:lang w:val="en-GB"/>
              </w:rPr>
            </w:pPr>
            <w:r>
              <w:rPr>
                <w:rFonts w:ascii="Times New Roman" w:hAnsi="Times New Roman" w:cs="Times New Roman"/>
                <w:lang w:val="en-GB"/>
              </w:rPr>
              <w:t>Inter-frequency cell re-selection</w:t>
            </w:r>
          </w:p>
        </w:tc>
        <w:tc>
          <w:tcPr>
            <w:tcW w:w="2766" w:type="dxa"/>
          </w:tcPr>
          <w:p>
            <w:pPr>
              <w:spacing w:before="156" w:beforeLines="50"/>
              <w:rPr>
                <w:rFonts w:ascii="Times New Roman" w:hAnsi="Times New Roman" w:cs="Times New Roman"/>
                <w:lang w:val="en-GB"/>
              </w:rPr>
            </w:pPr>
            <w:r>
              <w:rPr>
                <w:rFonts w:ascii="Times New Roman" w:hAnsi="Times New Roman" w:cs="Times New Roman"/>
                <w:lang w:val="en-GB"/>
              </w:rPr>
              <w:t>Yes</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In R17, we mainly introduced the time-based and location-based condition for NTN to NTN cell re-selection. In R18, we just reuse the legacy NTN requirements and only introduced movingReferenceLocation and location-based margin from 50m to 80m based on RAN2 agreements because of earth-moving scenario. Thus, the legacy requirements shall be reused for 1Rx and 2Rx RedCap UEs.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r>
        <w:rPr>
          <w:rFonts w:hint="eastAsia" w:eastAsia="宋体"/>
          <w:b/>
          <w:bCs/>
          <w:sz w:val="20"/>
          <w:szCs w:val="20"/>
          <w:lang w:val="en-US" w:eastAsia="zh-CN"/>
        </w:rPr>
        <w:t>Proposal 3: The cell re-selection intra-frequency and inter-frequency measurement requirements in legacy NTN can be reused for 2Rx and 1Rx RedCap UEs when considering NTN to NTN cell re-selection.</w:t>
      </w:r>
    </w:p>
    <w:p>
      <w:pPr>
        <w:pStyle w:val="7"/>
        <w:overflowPunct/>
        <w:autoSpaceDE/>
        <w:autoSpaceDN/>
        <w:adjustRightInd/>
        <w:spacing w:before="0" w:after="0" w:line="240" w:lineRule="auto"/>
        <w:jc w:val="left"/>
        <w:textAlignment w:val="auto"/>
        <w:rPr>
          <w:rFonts w:hint="default"/>
          <w:lang w:val="en-US" w:eastAsia="zh-CN"/>
        </w:rPr>
      </w:pPr>
      <w:r>
        <w:rPr>
          <w:rFonts w:hint="eastAsia"/>
          <w:lang w:val="en-US" w:eastAsia="zh-CN"/>
        </w:rPr>
        <w:t>2.1.1.1.1.2 Measurement Procedure</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Based on R17/R18 NR NTN discussion for normal UE, the measurement related requirements can be seen as below:</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268"/>
        <w:gridCol w:w="3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6" w:hRule="atLeast"/>
          <w:jc w:val="center"/>
        </w:trPr>
        <w:tc>
          <w:tcPr>
            <w:tcW w:w="2405" w:type="dxa"/>
            <w:vMerge w:val="restart"/>
          </w:tcPr>
          <w:p>
            <w:pPr>
              <w:rPr>
                <w:rFonts w:ascii="Times New Roman" w:hAnsi="Times New Roman" w:cs="Times New Roman"/>
                <w:lang w:val="en-GB"/>
              </w:rPr>
            </w:pPr>
            <w:r>
              <w:rPr>
                <w:rFonts w:ascii="Times New Roman" w:hAnsi="Times New Roman" w:cs="Times New Roman"/>
                <w:lang w:val="en-GB"/>
              </w:rPr>
              <w:t>Measurement</w:t>
            </w:r>
          </w:p>
        </w:tc>
        <w:tc>
          <w:tcPr>
            <w:tcW w:w="2268" w:type="dxa"/>
          </w:tcPr>
          <w:p>
            <w:pPr>
              <w:rPr>
                <w:rFonts w:ascii="Times New Roman" w:hAnsi="Times New Roman" w:cs="Times New Roman"/>
                <w:lang w:val="en-GB"/>
              </w:rPr>
            </w:pPr>
            <w:r>
              <w:rPr>
                <w:rFonts w:ascii="Times New Roman" w:hAnsi="Times New Roman" w:cs="Times New Roman"/>
                <w:lang w:val="en-GB"/>
              </w:rPr>
              <w:t>Intra-frequency measurement</w:t>
            </w:r>
          </w:p>
        </w:tc>
        <w:tc>
          <w:tcPr>
            <w:tcW w:w="3623" w:type="dxa"/>
          </w:tcPr>
          <w:p>
            <w:pPr>
              <w:rPr>
                <w:rFonts w:ascii="Times New Roman" w:hAnsi="Times New Roman" w:cs="Times New Roman"/>
                <w:lang w:val="en-GB"/>
              </w:rPr>
            </w:pPr>
            <w:r>
              <w:rPr>
                <w:rFonts w:ascii="Times New Roman" w:hAnsi="Times New Roman" w:cs="Times New Roman"/>
                <w:lang w:val="en-GB"/>
              </w:rPr>
              <w:t>Intra-frequency cell identification and measurement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2405" w:type="dxa"/>
            <w:vMerge w:val="continue"/>
          </w:tcPr>
          <w:p>
            <w:pPr>
              <w:rPr>
                <w:rFonts w:ascii="Times New Roman" w:hAnsi="Times New Roman" w:cs="Times New Roman"/>
                <w:lang w:val="en-GB"/>
              </w:rPr>
            </w:pPr>
          </w:p>
        </w:tc>
        <w:tc>
          <w:tcPr>
            <w:tcW w:w="2268" w:type="dxa"/>
          </w:tcPr>
          <w:p>
            <w:pPr>
              <w:rPr>
                <w:rFonts w:ascii="Times New Roman" w:hAnsi="Times New Roman" w:cs="Times New Roman"/>
                <w:lang w:val="en-GB"/>
              </w:rPr>
            </w:pPr>
            <w:r>
              <w:rPr>
                <w:rFonts w:ascii="Times New Roman" w:hAnsi="Times New Roman" w:cs="Times New Roman"/>
                <w:lang w:val="en-GB"/>
              </w:rPr>
              <w:t>Inter-frequency measurement</w:t>
            </w:r>
          </w:p>
        </w:tc>
        <w:tc>
          <w:tcPr>
            <w:tcW w:w="3623" w:type="dxa"/>
          </w:tcPr>
          <w:p>
            <w:pPr>
              <w:rPr>
                <w:rFonts w:ascii="Times New Roman" w:hAnsi="Times New Roman" w:cs="Times New Roman"/>
                <w:lang w:val="en-GB"/>
              </w:rPr>
            </w:pPr>
            <w:r>
              <w:rPr>
                <w:rFonts w:ascii="Times New Roman" w:hAnsi="Times New Roman" w:cs="Times New Roman"/>
                <w:lang w:val="en-GB"/>
              </w:rPr>
              <w:t>Inter-frequency cell identification and measurement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6" w:hRule="atLeast"/>
          <w:jc w:val="center"/>
        </w:trPr>
        <w:tc>
          <w:tcPr>
            <w:tcW w:w="2405" w:type="dxa"/>
          </w:tcPr>
          <w:p>
            <w:pPr>
              <w:rPr>
                <w:rFonts w:hint="default" w:ascii="Times New Roman" w:hAnsi="Times New Roman" w:eastAsia="宋体" w:cs="Times New Roman"/>
                <w:lang w:val="en-US" w:eastAsia="zh-CN"/>
              </w:rPr>
            </w:pPr>
            <w:r>
              <w:rPr>
                <w:rFonts w:hint="eastAsia" w:eastAsia="宋体" w:cs="Times New Roman"/>
                <w:lang w:val="en-US" w:eastAsia="zh-CN"/>
              </w:rPr>
              <w:t>Scenario</w:t>
            </w:r>
          </w:p>
        </w:tc>
        <w:tc>
          <w:tcPr>
            <w:tcW w:w="2268" w:type="dxa"/>
          </w:tcPr>
          <w:p>
            <w:pPr>
              <w:rPr>
                <w:rFonts w:hint="default" w:ascii="Times New Roman" w:hAnsi="Times New Roman" w:eastAsia="宋体" w:cs="Times New Roman"/>
                <w:lang w:val="en-US" w:eastAsia="zh-CN"/>
              </w:rPr>
            </w:pPr>
            <w:r>
              <w:rPr>
                <w:rFonts w:hint="eastAsia" w:eastAsia="宋体" w:cs="Times New Roman"/>
                <w:lang w:val="en-US" w:eastAsia="zh-CN"/>
              </w:rPr>
              <w:t>Multiple SMTC</w:t>
            </w:r>
          </w:p>
        </w:tc>
        <w:tc>
          <w:tcPr>
            <w:tcW w:w="3623" w:type="dxa"/>
          </w:tcPr>
          <w:p>
            <w:pPr>
              <w:rPr>
                <w:rFonts w:hint="default" w:ascii="Times New Roman" w:hAnsi="Times New Roman" w:eastAsia="宋体" w:cs="Times New Roman"/>
                <w:lang w:val="en-US" w:eastAsia="zh-CN"/>
              </w:rPr>
            </w:pPr>
            <w:r>
              <w:rPr>
                <w:rFonts w:hint="eastAsia" w:eastAsia="宋体" w:cs="Times New Roman"/>
                <w:lang w:val="en-US" w:eastAsia="zh-CN"/>
              </w:rPr>
              <w:t>Based on time and frequency difference</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For defining measurement requirements, we mainly focus on the intra-frequency and inter-frequency measurement especially for cell identification and measurement period. However, RAN4 shall clarify the basic scenario for redcap UE in NTN before studying the related requirements.</w:t>
      </w:r>
    </w:p>
    <w:p>
      <w:pPr>
        <w:overflowPunct w:val="0"/>
        <w:autoSpaceDE w:val="0"/>
        <w:autoSpaceDN w:val="0"/>
        <w:adjustRightInd w:val="0"/>
        <w:spacing w:before="120" w:after="120" w:line="360" w:lineRule="auto"/>
        <w:jc w:val="both"/>
        <w:textAlignment w:val="baseline"/>
        <w:rPr>
          <w:rFonts w:hint="default" w:eastAsia="宋体"/>
          <w:b/>
          <w:bCs/>
          <w:i/>
          <w:iCs/>
          <w:sz w:val="22"/>
          <w:u w:val="single"/>
          <w:lang w:val="en-US" w:eastAsia="zh-CN"/>
        </w:rPr>
      </w:pPr>
      <w:r>
        <w:rPr>
          <w:rFonts w:hint="eastAsia" w:eastAsia="宋体"/>
          <w:b/>
          <w:bCs/>
          <w:i/>
          <w:iCs/>
          <w:sz w:val="22"/>
          <w:u w:val="single"/>
          <w:lang w:val="en-US" w:eastAsia="zh-CN"/>
        </w:rPr>
        <w:t>Multiple SMTCs</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 xml:space="preserve">In legacy, RAN2 introduced multiple SMTC based on time and frequency difference. Although we are studying the redcap UE in NTN scenario, the multiple SMTCs shall also be reused since in my opinion, this is related to the NTN scenario not the types of UE. For legacy NTN, 2 SMTCs are mandatory supported and 4 SMTCs are optionally supported based on the UE capability. However, considering the complexity limitation of RedCap UEs, we deem that more SMTCs maybe are not proper for them. Thus, to my understanding, 2 SMTCs are enough for RedCap UEs.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3: RAN2 introduced the multiple SMTCs based on time and frequency difference in NTN in R17.</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Proposal 4: Multiple SMTCs (2 SMTCs) shall be reused for RedCap UEs in NTN scenario.</w:t>
      </w:r>
    </w:p>
    <w:p>
      <w:pPr>
        <w:keepNext w:val="0"/>
        <w:keepLines w:val="0"/>
        <w:pageBreakBefore w:val="0"/>
        <w:widowControl/>
        <w:kinsoku/>
        <w:wordWrap/>
        <w:overflowPunct w:val="0"/>
        <w:topLinePunct w:val="0"/>
        <w:autoSpaceDE w:val="0"/>
        <w:autoSpaceDN w:val="0"/>
        <w:bidi w:val="0"/>
        <w:adjustRightInd w:val="0"/>
        <w:snapToGrid/>
        <w:spacing w:before="240" w:after="120" w:line="360" w:lineRule="auto"/>
        <w:jc w:val="both"/>
        <w:textAlignment w:val="baseline"/>
        <w:rPr>
          <w:rFonts w:hint="default" w:ascii="Times New Roman" w:hAnsi="Times New Roman" w:eastAsia="宋体" w:cs="Times New Roman"/>
          <w:b/>
          <w:bCs/>
          <w:i/>
          <w:iCs/>
          <w:sz w:val="22"/>
          <w:u w:val="single"/>
          <w:lang w:val="en-US" w:eastAsia="zh-CN"/>
        </w:rPr>
      </w:pPr>
      <w:r>
        <w:rPr>
          <w:rFonts w:hint="eastAsia" w:ascii="Times New Roman" w:hAnsi="Times New Roman" w:eastAsia="宋体" w:cs="Times New Roman"/>
          <w:b/>
          <w:bCs/>
          <w:i/>
          <w:iCs/>
          <w:sz w:val="22"/>
          <w:u w:val="single"/>
          <w:lang w:val="en-US" w:eastAsia="zh-CN"/>
        </w:rPr>
        <w:t xml:space="preserve">Cell identification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this section, we mainly discuss the inter-frequency measurement without measurement gaps as an example.</w:t>
      </w:r>
    </w:p>
    <w:p>
      <w:pPr>
        <w:overflowPunct w:val="0"/>
        <w:autoSpaceDE w:val="0"/>
        <w:autoSpaceDN w:val="0"/>
        <w:adjustRightInd w:val="0"/>
        <w:spacing w:before="120" w:after="120" w:line="360" w:lineRule="auto"/>
        <w:jc w:val="both"/>
        <w:textAlignment w:val="baseline"/>
        <w:rPr>
          <w:rFonts w:hint="eastAsia" w:ascii="Times New Roman" w:hAnsi="Times New Roman" w:eastAsia="宋体" w:cs="Times New Roman"/>
          <w:b/>
          <w:bCs/>
          <w:sz w:val="22"/>
          <w:u w:val="single"/>
          <w:lang w:val="en-US" w:eastAsia="zh-CN"/>
        </w:rPr>
      </w:pPr>
      <w:r>
        <w:rPr>
          <w:rFonts w:hint="eastAsia" w:ascii="Times New Roman" w:hAnsi="Times New Roman" w:eastAsia="宋体" w:cs="Times New Roman"/>
          <w:b/>
          <w:bCs/>
          <w:sz w:val="22"/>
          <w:u w:val="single"/>
          <w:lang w:val="en-US" w:eastAsia="zh-CN"/>
        </w:rPr>
        <w:t>PSS/SSS detection and time index detection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UE performs cell identification including the time period of PSS/SSS detection and time index detection. The requirements are defined as below:</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tcPr>
          <w:p>
            <w:pPr>
              <w:spacing w:before="156" w:beforeLines="50" w:after="156" w:afterLines="50"/>
              <w:rPr>
                <w:rFonts w:ascii="Times New Roman" w:hAnsi="Times New Roman" w:cs="Times New Roman"/>
                <w:b/>
                <w:lang w:val="en-GB"/>
              </w:rPr>
            </w:pPr>
            <w:r>
              <w:rPr>
                <w:rFonts w:ascii="Times New Roman" w:hAnsi="Times New Roman" w:cs="Times New Roman"/>
                <w:b/>
                <w:lang w:val="en-GB"/>
              </w:rPr>
              <w:t>Legacy normal UE：</w:t>
            </w:r>
          </w:p>
          <w:p>
            <w:pPr>
              <w:pStyle w:val="55"/>
              <w:rPr>
                <w:rFonts w:ascii="Times New Roman" w:hAnsi="Times New Roman"/>
              </w:rPr>
            </w:pPr>
            <w:r>
              <w:rPr>
                <w:rFonts w:ascii="Times New Roman" w:hAnsi="Times New Roman"/>
              </w:rPr>
              <w:t>Table 9.2.5.1-1: Time period for PSS/SSS detection, (Frequency range FR1)</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36"/>
              <w:gridCol w:w="40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T</w:t>
                  </w:r>
                  <w:r>
                    <w:rPr>
                      <w:rFonts w:ascii="Times New Roman" w:hAnsi="Times New Roman"/>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max( 600ms, ceil( 5 x K</w:t>
                  </w:r>
                  <w:r>
                    <w:rPr>
                      <w:rFonts w:ascii="Times New Roman" w:hAnsi="Times New Roman"/>
                      <w:vertAlign w:val="subscript"/>
                    </w:rPr>
                    <w:t>p</w:t>
                  </w:r>
                  <w:r>
                    <w:rPr>
                      <w:rFonts w:ascii="Times New Roman" w:hAnsi="Times New Roman"/>
                    </w:rPr>
                    <w:t>) x SMTC period )</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max( 600ms, ceil(</w:t>
                  </w:r>
                  <w:r>
                    <w:rPr>
                      <w:rFonts w:ascii="Times New Roman" w:hAnsi="Times New Roman" w:eastAsiaTheme="minorEastAsia"/>
                      <w:lang w:eastAsia="zh-CN"/>
                    </w:rPr>
                    <w:t>M2</w:t>
                  </w:r>
                  <w:r>
                    <w:rPr>
                      <w:rFonts w:ascii="Times New Roman" w:hAnsi="Times New Roman" w:eastAsiaTheme="minorEastAsia"/>
                      <w:vertAlign w:val="superscript"/>
                      <w:lang w:eastAsia="zh-CN"/>
                    </w:rPr>
                    <w:t xml:space="preserve"> Note 2</w:t>
                  </w:r>
                  <w:r>
                    <w:rPr>
                      <w:rFonts w:ascii="Times New Roman" w:hAnsi="Times New Roman"/>
                    </w:rPr>
                    <w:t>x 5 x K</w:t>
                  </w:r>
                  <w:r>
                    <w:rPr>
                      <w:rFonts w:ascii="Times New Roman" w:hAnsi="Times New Roman"/>
                      <w:vertAlign w:val="subscript"/>
                    </w:rPr>
                    <w:t>p</w:t>
                  </w:r>
                  <w:r>
                    <w:rPr>
                      <w:rFonts w:ascii="Times New Roman" w:hAnsi="Times New Roman"/>
                    </w:rPr>
                    <w:t>) x max(SMTC period,DRX cycle))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lang w:val="fr-FR"/>
                    </w:rPr>
                  </w:pPr>
                  <w:r>
                    <w:rPr>
                      <w:rFonts w:ascii="Times New Roman" w:hAnsi="Times New Roman"/>
                      <w:lang w:val="fr-FR"/>
                    </w:rPr>
                    <w:t>ceil(5 x K</w:t>
                  </w:r>
                  <w:r>
                    <w:rPr>
                      <w:rFonts w:ascii="Times New Roman" w:hAnsi="Times New Roman"/>
                      <w:vertAlign w:val="subscript"/>
                      <w:lang w:val="fr-FR"/>
                    </w:rPr>
                    <w:t>p</w:t>
                  </w:r>
                  <w:r>
                    <w:rPr>
                      <w:rFonts w:ascii="Times New Roman" w:hAnsi="Times New Roman"/>
                      <w:lang w:val="fr-FR"/>
                    </w:rPr>
                    <w:t>) x DRX cycle x CSSF</w:t>
                  </w:r>
                  <w:r>
                    <w:rPr>
                      <w:rFonts w:ascii="Times New Roman" w:hAnsi="Times New Roman"/>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0"/>
                    <w:rPr>
                      <w:rFonts w:ascii="Times New Roman" w:hAnsi="Times New Roman"/>
                    </w:rPr>
                  </w:pPr>
                  <w:r>
                    <w:rPr>
                      <w:rFonts w:ascii="Times New Roman" w:hAnsi="Times New Roman"/>
                    </w:rPr>
                    <w:t>NOTE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p>
                  <w:pPr>
                    <w:pStyle w:val="60"/>
                    <w:rPr>
                      <w:rFonts w:ascii="Times New Roman" w:hAnsi="Times New Roman"/>
                    </w:rPr>
                  </w:pPr>
                  <w:r>
                    <w:rPr>
                      <w:rFonts w:ascii="Times New Roman" w:hAnsi="Times New Roman"/>
                    </w:rPr>
                    <w:t>NOTE 2:</w:t>
                  </w:r>
                  <w:r>
                    <w:rPr>
                      <w:rFonts w:ascii="Times New Roman" w:hAnsi="Times New Roman"/>
                    </w:rPr>
                    <w:tab/>
                  </w:r>
                  <w:r>
                    <w:rPr>
                      <w:rFonts w:ascii="Times New Roman" w:hAnsi="Times New Roman"/>
                    </w:rPr>
                    <w:t xml:space="preserve">When </w:t>
                  </w:r>
                  <w:r>
                    <w:rPr>
                      <w:rFonts w:ascii="Times New Roman" w:hAnsi="Times New Roman"/>
                      <w:i/>
                      <w:iCs/>
                    </w:rPr>
                    <w:t>highSpeedMeasFlag-r16</w:t>
                  </w:r>
                  <w:r>
                    <w:rPr>
                      <w:rFonts w:ascii="Times New Roman" w:hAnsi="Times New Roman" w:eastAsia="Malgun Gothic"/>
                      <w:lang w:eastAsia="zh-CN"/>
                    </w:rPr>
                    <w:t xml:space="preserve"> is</w:t>
                  </w:r>
                  <w:r>
                    <w:rPr>
                      <w:rFonts w:ascii="Times New Roman" w:hAnsi="Times New Roman"/>
                    </w:rPr>
                    <w:t xml:space="preserve"> not configured, M2 = 1.5; When </w:t>
                  </w:r>
                  <w:r>
                    <w:rPr>
                      <w:rFonts w:ascii="Times New Roman" w:hAnsi="Times New Roman"/>
                      <w:i/>
                      <w:iCs/>
                    </w:rPr>
                    <w:t>highSpeedMeasFlag-r16</w:t>
                  </w:r>
                  <w:r>
                    <w:rPr>
                      <w:rFonts w:ascii="Times New Roman" w:hAnsi="Times New Roman" w:eastAsia="Malgun Gothic"/>
                      <w:lang w:eastAsia="zh-CN"/>
                    </w:rPr>
                    <w:t xml:space="preserve"> is</w:t>
                  </w:r>
                  <w:r>
                    <w:rPr>
                      <w:rFonts w:ascii="Times New Roman" w:hAnsi="Times New Roman"/>
                    </w:rPr>
                    <w:t xml:space="preserve"> configured, M2 = 1.5 if SMTC periodicity &gt; 40 ms;,otherwise M2=1.</w:t>
                  </w:r>
                </w:p>
                <w:p>
                  <w:pPr>
                    <w:pStyle w:val="60"/>
                    <w:rPr>
                      <w:rFonts w:ascii="Times New Roman" w:hAnsi="Times New Roman"/>
                    </w:rPr>
                  </w:pPr>
                  <w:r>
                    <w:rPr>
                      <w:rFonts w:ascii="Times New Roman" w:hAnsi="Times New Roman"/>
                    </w:rPr>
                    <w:t xml:space="preserve">NOTE 3: </w:t>
                  </w:r>
                  <w:r>
                    <w:rPr>
                      <w:rFonts w:ascii="Times New Roman" w:hAnsi="Times New Roman"/>
                    </w:rPr>
                    <w:tab/>
                  </w:r>
                  <w:r>
                    <w:rPr>
                      <w:rFonts w:ascii="Times New Roman" w:hAnsi="Times New Roman" w:eastAsia="Malgun Gothic"/>
                      <w:lang w:val="en-US" w:eastAsia="zh-CN"/>
                    </w:rPr>
                    <w:t xml:space="preserve">When </w:t>
                  </w:r>
                  <w:r>
                    <w:rPr>
                      <w:rFonts w:ascii="Times New Roman" w:hAnsi="Times New Roman" w:eastAsia="Malgun Gothic"/>
                      <w:i/>
                      <w:iCs/>
                      <w:lang w:val="en-US" w:eastAsia="zh-CN"/>
                    </w:rPr>
                    <w:t>highSpeedMeasFlag-r16</w:t>
                  </w:r>
                  <w:r>
                    <w:rPr>
                      <w:rFonts w:ascii="Times New Roman" w:hAnsi="Times New Roman" w:eastAsia="Malgun Gothic"/>
                      <w:lang w:val="en-US" w:eastAsia="zh-CN"/>
                    </w:rPr>
                    <w:t xml:space="preserve"> is configured, the requirements apply only to </w:t>
                  </w:r>
                  <w:r>
                    <w:rPr>
                      <w:rFonts w:ascii="Times New Roman" w:hAnsi="Times New Roman"/>
                    </w:rPr>
                    <w:t xml:space="preserve">UE supporting either </w:t>
                  </w:r>
                  <w:r>
                    <w:rPr>
                      <w:rFonts w:ascii="Times New Roman" w:hAnsi="Times New Roman"/>
                      <w:i/>
                      <w:iCs/>
                    </w:rPr>
                    <w:t xml:space="preserve">measurementEnhancement-r16 </w:t>
                  </w:r>
                  <w:r>
                    <w:rPr>
                      <w:rFonts w:ascii="Times New Roman" w:hAnsi="Times New Roman"/>
                    </w:rPr>
                    <w:t>or</w:t>
                  </w:r>
                  <w:r>
                    <w:rPr>
                      <w:rFonts w:ascii="Times New Roman" w:hAnsi="Times New Roman"/>
                      <w:i/>
                      <w:iCs/>
                    </w:rPr>
                    <w:t xml:space="preserve"> intraNR-</w:t>
                  </w:r>
                  <w:r>
                    <w:rPr>
                      <w:rFonts w:ascii="Times New Roman" w:hAnsi="Times New Roman"/>
                      <w:i/>
                      <w:iCs/>
                      <w:lang w:val="en-US"/>
                    </w:rPr>
                    <w:t>M</w:t>
                  </w:r>
                  <w:r>
                    <w:rPr>
                      <w:rFonts w:ascii="Times New Roman" w:hAnsi="Times New Roman"/>
                      <w:i/>
                      <w:iCs/>
                    </w:rPr>
                    <w:t>easurementEnhancement-r16</w:t>
                  </w:r>
                  <w:r>
                    <w:rPr>
                      <w:rFonts w:ascii="Times New Roman" w:hAnsi="Times New Roman"/>
                    </w:rPr>
                    <w:t xml:space="preserve"> on </w:t>
                  </w:r>
                  <w:r>
                    <w:rPr>
                      <w:rFonts w:ascii="Times New Roman" w:hAnsi="Times New Roman" w:eastAsia="Malgun Gothic"/>
                      <w:lang w:val="en-US" w:eastAsia="zh-CN"/>
                    </w:rPr>
                    <w:t>measurements of the primary component carrier and do not apply to measurements of a secondary component carrier with active SCell</w:t>
                  </w:r>
                  <w:r>
                    <w:rPr>
                      <w:rFonts w:ascii="Times New Roman" w:hAnsi="Times New Roman"/>
                    </w:rPr>
                    <w:t>.</w:t>
                  </w:r>
                </w:p>
                <w:p>
                  <w:pPr>
                    <w:pStyle w:val="60"/>
                    <w:rPr>
                      <w:rFonts w:ascii="Times New Roman" w:hAnsi="Times New Roman"/>
                    </w:rPr>
                  </w:pPr>
                  <w:r>
                    <w:rPr>
                      <w:rFonts w:ascii="Times New Roman" w:hAnsi="Times New Roman"/>
                    </w:rPr>
                    <w:t>NOTE 4:</w:t>
                  </w:r>
                  <w:r>
                    <w:rPr>
                      <w:rFonts w:ascii="Times New Roman" w:hAnsi="Times New Roman"/>
                    </w:rPr>
                    <w:tab/>
                  </w:r>
                  <w:r>
                    <w:rPr>
                      <w:rFonts w:ascii="Times New Roman" w:hAnsi="Times New Roman"/>
                    </w:rPr>
                    <w:t xml:space="preserve">When </w:t>
                  </w:r>
                  <w:r>
                    <w:rPr>
                      <w:rFonts w:ascii="Times New Roman" w:hAnsi="Times New Roman"/>
                      <w:i/>
                      <w:iCs/>
                    </w:rPr>
                    <w:t>highSpeedMeasCA-Scell-r17</w:t>
                  </w:r>
                  <w:r>
                    <w:rPr>
                      <w:rFonts w:ascii="Times New Roman" w:hAnsi="Times New Roman"/>
                    </w:rPr>
                    <w:t xml:space="preserve"> is configured and UE supports </w:t>
                  </w:r>
                  <w:r>
                    <w:rPr>
                      <w:rFonts w:ascii="Times New Roman" w:hAnsi="Times New Roman"/>
                      <w:i/>
                      <w:iCs/>
                    </w:rPr>
                    <w:t>measurementEnhancementCA-r17</w:t>
                  </w:r>
                  <w:r>
                    <w:rPr>
                      <w:rFonts w:ascii="Times New Roman" w:hAnsi="Times New Roman"/>
                    </w:rPr>
                    <w:t>, M2 = 1.5 if SMTC periodicity &gt; 40 ms; otherwise M2=1.</w:t>
                  </w:r>
                </w:p>
              </w:tc>
            </w:tr>
          </w:tbl>
          <w:p>
            <w:pPr>
              <w:rPr>
                <w:rFonts w:ascii="Times New Roman" w:hAnsi="Times New Roman" w:cs="Times New Roman"/>
              </w:rPr>
            </w:pPr>
          </w:p>
          <w:p>
            <w:pPr>
              <w:pStyle w:val="55"/>
              <w:rPr>
                <w:rFonts w:ascii="Times New Roman" w:hAnsi="Times New Roman"/>
              </w:rPr>
            </w:pPr>
            <w:r>
              <w:rPr>
                <w:rFonts w:ascii="Times New Roman" w:hAnsi="Times New Roman"/>
              </w:rPr>
              <w:t>Table 9.2.5.1-3: Time period for time index detection (FR1)</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3"/>
              <w:gridCol w:w="4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T</w:t>
                  </w:r>
                  <w:r>
                    <w:rPr>
                      <w:rFonts w:ascii="Times New Roman" w:hAnsi="Times New Roman"/>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max(120ms, ceil( 3 x K</w:t>
                  </w:r>
                  <w:r>
                    <w:rPr>
                      <w:rFonts w:ascii="Times New Roman" w:hAnsi="Times New Roman"/>
                      <w:vertAlign w:val="subscript"/>
                    </w:rPr>
                    <w:t xml:space="preserve">p </w:t>
                  </w:r>
                  <w:r>
                    <w:rPr>
                      <w:rFonts w:ascii="Times New Roman" w:hAnsi="Times New Roman"/>
                    </w:rPr>
                    <w:t>)</w:t>
                  </w:r>
                  <w:r>
                    <w:rPr>
                      <w:rFonts w:ascii="Times New Roman" w:hAnsi="Times New Roman"/>
                      <w:vertAlign w:val="subscript"/>
                    </w:rPr>
                    <w:t xml:space="preserve"> </w:t>
                  </w:r>
                  <w:r>
                    <w:rPr>
                      <w:rFonts w:ascii="Times New Roman" w:hAnsi="Times New Roman"/>
                    </w:rPr>
                    <w:t>x SMTC period)</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max(120ms, ceil (</w:t>
                  </w:r>
                  <w:r>
                    <w:rPr>
                      <w:rFonts w:ascii="Times New Roman" w:hAnsi="Times New Roman" w:eastAsiaTheme="minorEastAsia"/>
                      <w:lang w:eastAsia="zh-CN"/>
                    </w:rPr>
                    <w:t>M2</w:t>
                  </w:r>
                  <w:r>
                    <w:rPr>
                      <w:rFonts w:ascii="Times New Roman" w:hAnsi="Times New Roman" w:eastAsiaTheme="minorEastAsia"/>
                      <w:vertAlign w:val="superscript"/>
                      <w:lang w:eastAsia="zh-CN"/>
                    </w:rPr>
                    <w:t xml:space="preserve"> Note 2</w:t>
                  </w:r>
                  <w:r>
                    <w:rPr>
                      <w:rFonts w:ascii="Times New Roman" w:hAnsi="Times New Roman"/>
                    </w:rPr>
                    <w:t xml:space="preserve"> x 3 x K</w:t>
                  </w:r>
                  <w:r>
                    <w:rPr>
                      <w:rFonts w:ascii="Times New Roman" w:hAnsi="Times New Roman"/>
                      <w:vertAlign w:val="subscript"/>
                    </w:rPr>
                    <w:t>p</w:t>
                  </w:r>
                  <w:r>
                    <w:rPr>
                      <w:rFonts w:ascii="Times New Roman" w:hAnsi="Times New Roman"/>
                    </w:rPr>
                    <w:t>) x max(SMTC period,DRX cycle))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lang w:val="fr-FR"/>
                    </w:rPr>
                  </w:pPr>
                  <w:r>
                    <w:rPr>
                      <w:rFonts w:ascii="Times New Roman" w:hAnsi="Times New Roman"/>
                      <w:lang w:val="fr-FR"/>
                    </w:rPr>
                    <w:t>Ceil(3 x K</w:t>
                  </w:r>
                  <w:r>
                    <w:rPr>
                      <w:rFonts w:ascii="Times New Roman" w:hAnsi="Times New Roman"/>
                      <w:vertAlign w:val="subscript"/>
                      <w:lang w:val="fr-FR"/>
                    </w:rPr>
                    <w:t>p</w:t>
                  </w:r>
                  <w:r>
                    <w:rPr>
                      <w:rFonts w:ascii="Times New Roman" w:hAnsi="Times New Roman"/>
                      <w:lang w:val="fr-FR"/>
                    </w:rPr>
                    <w:t>) x DRX cycle x CSSF</w:t>
                  </w:r>
                  <w:r>
                    <w:rPr>
                      <w:rFonts w:ascii="Times New Roman" w:hAnsi="Times New Roman"/>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0"/>
                    <w:rPr>
                      <w:rFonts w:ascii="Times New Roman" w:hAnsi="Times New Roman"/>
                    </w:rPr>
                  </w:pPr>
                  <w:r>
                    <w:rPr>
                      <w:rFonts w:ascii="Times New Roman" w:hAnsi="Times New Roman"/>
                      <w:lang w:eastAsia="ko-KR"/>
                    </w:rPr>
                    <w:t>NOTE</w:t>
                  </w:r>
                  <w:r>
                    <w:rPr>
                      <w:rFonts w:ascii="Times New Roman" w:hAnsi="Times New Roman"/>
                    </w:rPr>
                    <w:t xml:space="preserv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p>
                  <w:pPr>
                    <w:pStyle w:val="60"/>
                    <w:rPr>
                      <w:rFonts w:ascii="Times New Roman" w:hAnsi="Times New Roman"/>
                    </w:rPr>
                  </w:pPr>
                  <w:r>
                    <w:rPr>
                      <w:rFonts w:ascii="Times New Roman" w:hAnsi="Times New Roman"/>
                    </w:rPr>
                    <w:t>NOTE 2:</w:t>
                  </w:r>
                  <w:r>
                    <w:rPr>
                      <w:rFonts w:ascii="Times New Roman" w:hAnsi="Times New Roman"/>
                    </w:rPr>
                    <w:tab/>
                  </w:r>
                  <w:r>
                    <w:rPr>
                      <w:rFonts w:ascii="Times New Roman" w:hAnsi="Times New Roman"/>
                    </w:rPr>
                    <w:t xml:space="preserve">When </w:t>
                  </w:r>
                  <w:r>
                    <w:rPr>
                      <w:rFonts w:ascii="Times New Roman" w:hAnsi="Times New Roman"/>
                      <w:i/>
                      <w:iCs/>
                    </w:rPr>
                    <w:t>highSpeedMeasFlag-r16</w:t>
                  </w:r>
                  <w:r>
                    <w:rPr>
                      <w:rFonts w:ascii="Times New Roman" w:hAnsi="Times New Roman" w:eastAsia="Malgun Gothic"/>
                      <w:lang w:eastAsia="zh-CN"/>
                    </w:rPr>
                    <w:t xml:space="preserve"> is</w:t>
                  </w:r>
                  <w:r>
                    <w:rPr>
                      <w:rFonts w:ascii="Times New Roman" w:hAnsi="Times New Roman"/>
                    </w:rPr>
                    <w:t xml:space="preserve"> not configured, M2 = 1.5; When </w:t>
                  </w:r>
                  <w:r>
                    <w:rPr>
                      <w:rFonts w:ascii="Times New Roman" w:hAnsi="Times New Roman"/>
                      <w:i/>
                      <w:iCs/>
                    </w:rPr>
                    <w:t>highSpeedMeasFlag-r16</w:t>
                  </w:r>
                  <w:r>
                    <w:rPr>
                      <w:rFonts w:ascii="Times New Roman" w:hAnsi="Times New Roman" w:eastAsia="Malgun Gothic"/>
                      <w:lang w:eastAsia="zh-CN"/>
                    </w:rPr>
                    <w:t xml:space="preserve"> is</w:t>
                  </w:r>
                  <w:r>
                    <w:rPr>
                      <w:rFonts w:ascii="Times New Roman" w:hAnsi="Times New Roman"/>
                    </w:rPr>
                    <w:t xml:space="preserve"> configured, M2 = 1.5 if SMTC periodicity &gt; 40 ms;,otherwise M2=1</w:t>
                  </w:r>
                </w:p>
                <w:p>
                  <w:pPr>
                    <w:pStyle w:val="60"/>
                    <w:rPr>
                      <w:rFonts w:ascii="Times New Roman" w:hAnsi="Times New Roman"/>
                    </w:rPr>
                  </w:pPr>
                  <w:r>
                    <w:rPr>
                      <w:rFonts w:ascii="Times New Roman" w:hAnsi="Times New Roman"/>
                    </w:rPr>
                    <w:t>NOTE 3:</w:t>
                  </w:r>
                  <w:r>
                    <w:rPr>
                      <w:rFonts w:ascii="Times New Roman" w:hAnsi="Times New Roman"/>
                    </w:rPr>
                    <w:tab/>
                  </w:r>
                  <w:r>
                    <w:rPr>
                      <w:rFonts w:ascii="Times New Roman" w:hAnsi="Times New Roman" w:eastAsia="Malgun Gothic"/>
                      <w:lang w:val="en-US" w:eastAsia="zh-CN"/>
                    </w:rPr>
                    <w:t xml:space="preserve">When </w:t>
                  </w:r>
                  <w:r>
                    <w:rPr>
                      <w:rFonts w:ascii="Times New Roman" w:hAnsi="Times New Roman" w:eastAsia="Malgun Gothic"/>
                      <w:i/>
                      <w:iCs/>
                      <w:lang w:val="en-US" w:eastAsia="zh-CN"/>
                    </w:rPr>
                    <w:t>highSpeedMeasFlag-r16</w:t>
                  </w:r>
                  <w:r>
                    <w:rPr>
                      <w:rFonts w:ascii="Times New Roman" w:hAnsi="Times New Roman" w:eastAsia="Malgun Gothic"/>
                      <w:lang w:val="en-US" w:eastAsia="zh-CN"/>
                    </w:rPr>
                    <w:t xml:space="preserve"> is configured, the requirements apply only to </w:t>
                  </w:r>
                  <w:r>
                    <w:rPr>
                      <w:rFonts w:ascii="Times New Roman" w:hAnsi="Times New Roman"/>
                    </w:rPr>
                    <w:t xml:space="preserve">UE supporting either </w:t>
                  </w:r>
                  <w:r>
                    <w:rPr>
                      <w:rFonts w:ascii="Times New Roman" w:hAnsi="Times New Roman"/>
                      <w:i/>
                      <w:iCs/>
                    </w:rPr>
                    <w:t xml:space="preserve">measurementEnhancement-r16 </w:t>
                  </w:r>
                  <w:r>
                    <w:rPr>
                      <w:rFonts w:ascii="Times New Roman" w:hAnsi="Times New Roman"/>
                    </w:rPr>
                    <w:t>or</w:t>
                  </w:r>
                  <w:r>
                    <w:rPr>
                      <w:rFonts w:ascii="Times New Roman" w:hAnsi="Times New Roman"/>
                      <w:i/>
                      <w:iCs/>
                    </w:rPr>
                    <w:t xml:space="preserve"> intraNR-</w:t>
                  </w:r>
                  <w:r>
                    <w:rPr>
                      <w:rFonts w:ascii="Times New Roman" w:hAnsi="Times New Roman"/>
                      <w:i/>
                      <w:iCs/>
                      <w:lang w:val="en-US"/>
                    </w:rPr>
                    <w:t>M</w:t>
                  </w:r>
                  <w:r>
                    <w:rPr>
                      <w:rFonts w:ascii="Times New Roman" w:hAnsi="Times New Roman"/>
                      <w:i/>
                      <w:iCs/>
                    </w:rPr>
                    <w:t>easurementEnhancement-r16</w:t>
                  </w:r>
                  <w:r>
                    <w:rPr>
                      <w:rFonts w:ascii="Times New Roman" w:hAnsi="Times New Roman"/>
                    </w:rPr>
                    <w:t xml:space="preserve"> on </w:t>
                  </w:r>
                  <w:r>
                    <w:rPr>
                      <w:rFonts w:ascii="Times New Roman" w:hAnsi="Times New Roman" w:eastAsia="Malgun Gothic"/>
                      <w:lang w:val="en-US" w:eastAsia="zh-CN"/>
                    </w:rPr>
                    <w:t>measurements of the primary component carrier and do not apply to measurements of a secondary component carrier with active SCell</w:t>
                  </w:r>
                  <w:r>
                    <w:rPr>
                      <w:rFonts w:ascii="Times New Roman" w:hAnsi="Times New Roman"/>
                    </w:rPr>
                    <w:t>.</w:t>
                  </w:r>
                </w:p>
                <w:p>
                  <w:pPr>
                    <w:pStyle w:val="60"/>
                    <w:rPr>
                      <w:rFonts w:ascii="Times New Roman" w:hAnsi="Times New Roman"/>
                    </w:rPr>
                  </w:pPr>
                  <w:r>
                    <w:rPr>
                      <w:rFonts w:ascii="Times New Roman" w:hAnsi="Times New Roman"/>
                    </w:rPr>
                    <w:t xml:space="preserve">NOTE 4: </w:t>
                  </w:r>
                  <w:r>
                    <w:rPr>
                      <w:rFonts w:ascii="Times New Roman" w:hAnsi="Times New Roman"/>
                    </w:rPr>
                    <w:tab/>
                  </w:r>
                  <w:r>
                    <w:rPr>
                      <w:rFonts w:ascii="Times New Roman" w:hAnsi="Times New Roman" w:eastAsia="等线"/>
                      <w:lang w:val="en-US" w:eastAsia="zh-CN"/>
                    </w:rPr>
                    <w:t xml:space="preserve">When </w:t>
                  </w:r>
                  <w:r>
                    <w:rPr>
                      <w:rFonts w:ascii="Times New Roman" w:hAnsi="Times New Roman"/>
                      <w:i/>
                      <w:iCs/>
                    </w:rPr>
                    <w:t>highSpeedMeasCA-Scell-r17</w:t>
                  </w:r>
                  <w:r>
                    <w:rPr>
                      <w:rFonts w:ascii="Times New Roman" w:hAnsi="Times New Roman" w:eastAsia="等线"/>
                      <w:lang w:val="en-US" w:eastAsia="zh-CN"/>
                    </w:rPr>
                    <w:t xml:space="preserve"> is configured and UE supports </w:t>
                  </w:r>
                  <w:r>
                    <w:rPr>
                      <w:rFonts w:ascii="Times New Roman" w:hAnsi="Times New Roman" w:eastAsia="等线"/>
                      <w:i/>
                      <w:iCs/>
                      <w:lang w:val="en-US" w:eastAsia="zh-CN"/>
                    </w:rPr>
                    <w:t>measurementEnhancementCA-r17</w:t>
                  </w:r>
                  <w:r>
                    <w:rPr>
                      <w:rFonts w:ascii="Times New Roman" w:hAnsi="Times New Roman" w:eastAsia="等线"/>
                      <w:lang w:val="en-US" w:eastAsia="zh-CN"/>
                    </w:rPr>
                    <w:t>, M2 = 1.5 if SMTC periodicity &gt; 40 ms; otherwise M2=1</w:t>
                  </w:r>
                </w:p>
              </w:tc>
            </w:tr>
          </w:tbl>
          <w:p>
            <w:pPr>
              <w:spacing w:before="156" w:beforeLines="50" w:after="156" w:afterLines="50"/>
              <w:rPr>
                <w:rFonts w:ascii="Times New Roman" w:hAnsi="Times New Roman" w:cs="Times New Roman"/>
                <w:b/>
              </w:rPr>
            </w:pPr>
            <w:r>
              <w:rPr>
                <w:rFonts w:ascii="Times New Roman" w:hAnsi="Times New Roman" w:cs="Times New Roman"/>
                <w:b/>
              </w:rPr>
              <w:t>RedCap UE:</w:t>
            </w:r>
          </w:p>
          <w:p>
            <w:pPr>
              <w:pStyle w:val="55"/>
              <w:rPr>
                <w:rFonts w:ascii="Times New Roman" w:hAnsi="Times New Roman"/>
              </w:rPr>
            </w:pPr>
            <w:r>
              <w:rPr>
                <w:rFonts w:ascii="Times New Roman" w:hAnsi="Times New Roman"/>
              </w:rPr>
              <w:t>Table 9.2B.5.1-1: Time period for PSS/SSS detection, (Frequency range FR1) for 2Rx RedCap UE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76"/>
              <w:gridCol w:w="4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0"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lang w:val="sv-SE"/>
                    </w:rPr>
                  </w:pPr>
                  <w:r>
                    <w:rPr>
                      <w:rFonts w:ascii="Times New Roman" w:hAnsi="Times New Roman"/>
                      <w:lang w:val="sv-SE"/>
                    </w:rPr>
                    <w:t>T</w:t>
                  </w:r>
                  <w:r>
                    <w:rPr>
                      <w:rFonts w:ascii="Times New Roman" w:hAnsi="Times New Roman"/>
                      <w:vertAlign w:val="subscript"/>
                      <w:lang w:val="sv-SE"/>
                    </w:rPr>
                    <w:t>PSS/SSS_sync_intra_RedCap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max(600ms, ceil(5 x K</w:t>
                  </w:r>
                  <w:r>
                    <w:rPr>
                      <w:rFonts w:ascii="Times New Roman" w:hAnsi="Times New Roman"/>
                      <w:vertAlign w:val="subscript"/>
                    </w:rPr>
                    <w:t>p</w:t>
                  </w:r>
                  <w:r>
                    <w:rPr>
                      <w:rFonts w:ascii="Times New Roman" w:hAnsi="Times New Roman"/>
                    </w:rPr>
                    <w:t>) x SMTC period )</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max(600ms, ceil(1.5 x 5 x K</w:t>
                  </w:r>
                  <w:r>
                    <w:rPr>
                      <w:rFonts w:ascii="Times New Roman" w:hAnsi="Times New Roman"/>
                      <w:vertAlign w:val="subscript"/>
                    </w:rPr>
                    <w:t>p</w:t>
                  </w:r>
                  <w:r>
                    <w:rPr>
                      <w:rFonts w:ascii="Times New Roman" w:hAnsi="Times New Roman"/>
                    </w:rPr>
                    <w:t>) x max(SMTC period,DRX cycle))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lang w:val="fr-FR"/>
                    </w:rPr>
                  </w:pPr>
                  <w:r>
                    <w:rPr>
                      <w:rFonts w:ascii="Times New Roman" w:hAnsi="Times New Roman"/>
                      <w:lang w:val="fr-FR"/>
                    </w:rPr>
                    <w:t>ceil(5 x K</w:t>
                  </w:r>
                  <w:r>
                    <w:rPr>
                      <w:rFonts w:ascii="Times New Roman" w:hAnsi="Times New Roman"/>
                      <w:vertAlign w:val="subscript"/>
                      <w:lang w:val="fr-FR"/>
                    </w:rPr>
                    <w:t>p</w:t>
                  </w:r>
                  <w:r>
                    <w:rPr>
                      <w:rFonts w:ascii="Times New Roman" w:hAnsi="Times New Roman"/>
                      <w:lang w:val="fr-FR"/>
                    </w:rPr>
                    <w:t>) x DRX cycle x CSSF</w:t>
                  </w:r>
                  <w:r>
                    <w:rPr>
                      <w:rFonts w:ascii="Times New Roman" w:hAnsi="Times New Roman"/>
                      <w:vertAlign w:val="subscript"/>
                      <w:lang w:val="fr-FR"/>
                    </w:rPr>
                    <w:t>intra</w:t>
                  </w:r>
                  <w:r>
                    <w:rPr>
                      <w:rFonts w:ascii="Times New Roman" w:hAnsi="Times New Roman"/>
                      <w:vertAlign w:val="subscript"/>
                    </w:rPr>
                    <w:t>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0"/>
                    <w:rPr>
                      <w:rFonts w:ascii="Times New Roman" w:hAnsi="Times New Roman"/>
                    </w:rPr>
                  </w:pPr>
                  <w:r>
                    <w:rPr>
                      <w:rFonts w:ascii="Times New Roman" w:hAnsi="Times New Roman"/>
                    </w:rPr>
                    <w:t>NOTE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tc>
            </w:tr>
          </w:tbl>
          <w:p>
            <w:pPr>
              <w:pStyle w:val="55"/>
              <w:rPr>
                <w:rFonts w:ascii="Times New Roman" w:hAnsi="Times New Roman"/>
              </w:rPr>
            </w:pPr>
            <w:r>
              <w:rPr>
                <w:rFonts w:ascii="Times New Roman" w:hAnsi="Times New Roman"/>
              </w:rPr>
              <w:t>Table 9.2B.5.1-3: Time period for PSS/SSS detection, (Frequency range FR1) for 1Rx RedCap UE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76"/>
              <w:gridCol w:w="4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lang w:val="sv-SE"/>
                    </w:rPr>
                  </w:pPr>
                  <w:r>
                    <w:rPr>
                      <w:rFonts w:ascii="Times New Roman" w:hAnsi="Times New Roman"/>
                      <w:lang w:val="sv-SE"/>
                    </w:rPr>
                    <w:t>T</w:t>
                  </w:r>
                  <w:r>
                    <w:rPr>
                      <w:rFonts w:ascii="Times New Roman" w:hAnsi="Times New Roman"/>
                      <w:vertAlign w:val="subscript"/>
                      <w:lang w:val="sv-SE"/>
                    </w:rPr>
                    <w:t>PSS/SSS_sync_intra_RedCap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 xml:space="preserve">max(600ms, ceil( </w:t>
                  </w:r>
                  <w:r>
                    <w:rPr>
                      <w:rFonts w:ascii="Times New Roman" w:hAnsi="Times New Roman"/>
                      <w:highlight w:val="yellow"/>
                    </w:rPr>
                    <w:t xml:space="preserve">7 </w:t>
                  </w:r>
                  <w:r>
                    <w:rPr>
                      <w:rFonts w:ascii="Times New Roman" w:hAnsi="Times New Roman"/>
                    </w:rPr>
                    <w:t>x K</w:t>
                  </w:r>
                  <w:r>
                    <w:rPr>
                      <w:rFonts w:ascii="Times New Roman" w:hAnsi="Times New Roman"/>
                      <w:vertAlign w:val="subscript"/>
                    </w:rPr>
                    <w:t>p</w:t>
                  </w:r>
                  <w:r>
                    <w:rPr>
                      <w:rFonts w:ascii="Times New Roman" w:hAnsi="Times New Roman"/>
                    </w:rPr>
                    <w:t>) x SMTC period )</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 xml:space="preserve">max(600ms, ceil(1.5 x </w:t>
                  </w:r>
                  <w:r>
                    <w:rPr>
                      <w:rFonts w:ascii="Times New Roman" w:hAnsi="Times New Roman"/>
                      <w:highlight w:val="yellow"/>
                    </w:rPr>
                    <w:t>7</w:t>
                  </w:r>
                  <w:r>
                    <w:rPr>
                      <w:rFonts w:ascii="Times New Roman" w:hAnsi="Times New Roman"/>
                    </w:rPr>
                    <w:t xml:space="preserve"> x K</w:t>
                  </w:r>
                  <w:r>
                    <w:rPr>
                      <w:rFonts w:ascii="Times New Roman" w:hAnsi="Times New Roman"/>
                      <w:vertAlign w:val="subscript"/>
                    </w:rPr>
                    <w:t>p</w:t>
                  </w:r>
                  <w:r>
                    <w:rPr>
                      <w:rFonts w:ascii="Times New Roman" w:hAnsi="Times New Roman"/>
                    </w:rPr>
                    <w:t>) x max(SMTC period,DRX cycle))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lang w:val="fr-FR"/>
                    </w:rPr>
                  </w:pPr>
                  <w:r>
                    <w:rPr>
                      <w:rFonts w:ascii="Times New Roman" w:hAnsi="Times New Roman"/>
                      <w:lang w:val="fr-FR"/>
                    </w:rPr>
                    <w:t>ceil(</w:t>
                  </w:r>
                  <w:r>
                    <w:rPr>
                      <w:rFonts w:ascii="Times New Roman" w:hAnsi="Times New Roman"/>
                      <w:highlight w:val="yellow"/>
                      <w:lang w:val="fr-FR"/>
                    </w:rPr>
                    <w:t>7</w:t>
                  </w:r>
                  <w:r>
                    <w:rPr>
                      <w:rFonts w:ascii="Times New Roman" w:hAnsi="Times New Roman"/>
                      <w:lang w:val="fr-FR"/>
                    </w:rPr>
                    <w:t xml:space="preserve"> x K</w:t>
                  </w:r>
                  <w:r>
                    <w:rPr>
                      <w:rFonts w:ascii="Times New Roman" w:hAnsi="Times New Roman"/>
                      <w:vertAlign w:val="subscript"/>
                      <w:lang w:val="fr-FR"/>
                    </w:rPr>
                    <w:t>p</w:t>
                  </w:r>
                  <w:r>
                    <w:rPr>
                      <w:rFonts w:ascii="Times New Roman" w:hAnsi="Times New Roman"/>
                      <w:lang w:val="fr-FR"/>
                    </w:rPr>
                    <w:t>) x DRX cycle x CSSF</w:t>
                  </w:r>
                  <w:r>
                    <w:rPr>
                      <w:rFonts w:ascii="Times New Roman" w:hAnsi="Times New Roman"/>
                      <w:vertAlign w:val="subscript"/>
                      <w:lang w:val="fr-FR"/>
                    </w:rPr>
                    <w:t>intra</w:t>
                  </w:r>
                  <w:r>
                    <w:rPr>
                      <w:rFonts w:ascii="Times New Roman" w:hAnsi="Times New Roman"/>
                      <w:vertAlign w:val="subscript"/>
                    </w:rPr>
                    <w:t>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0"/>
                    <w:rPr>
                      <w:rFonts w:ascii="Times New Roman" w:hAnsi="Times New Roman"/>
                    </w:rPr>
                  </w:pPr>
                  <w:r>
                    <w:rPr>
                      <w:rFonts w:ascii="Times New Roman" w:hAnsi="Times New Roman"/>
                    </w:rPr>
                    <w:t>NOTE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tc>
            </w:tr>
          </w:tbl>
          <w:p>
            <w:pPr>
              <w:rPr>
                <w:rFonts w:ascii="Times New Roman" w:hAnsi="Times New Roman" w:cs="Times New Roman"/>
              </w:rPr>
            </w:pPr>
          </w:p>
          <w:p>
            <w:pPr>
              <w:pStyle w:val="55"/>
              <w:rPr>
                <w:rFonts w:ascii="Times New Roman" w:hAnsi="Times New Roman"/>
              </w:rPr>
            </w:pPr>
            <w:r>
              <w:rPr>
                <w:rFonts w:ascii="Times New Roman" w:hAnsi="Times New Roman"/>
              </w:rPr>
              <w:t>Table 9.2B.5.1-4: Time period for time index detection (FR1) for 2Rx RedCap UE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64"/>
              <w:gridCol w:w="4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T</w:t>
                  </w:r>
                  <w:r>
                    <w:rPr>
                      <w:rFonts w:ascii="Times New Roman" w:hAnsi="Times New Roman"/>
                      <w:vertAlign w:val="subscript"/>
                    </w:rPr>
                    <w:t>SSB_time_index_intra_RedCap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max(120ms, ceil( 3 x K</w:t>
                  </w:r>
                  <w:r>
                    <w:rPr>
                      <w:rFonts w:ascii="Times New Roman" w:hAnsi="Times New Roman"/>
                      <w:vertAlign w:val="subscript"/>
                    </w:rPr>
                    <w:t xml:space="preserve">p </w:t>
                  </w:r>
                  <w:r>
                    <w:rPr>
                      <w:rFonts w:ascii="Times New Roman" w:hAnsi="Times New Roman"/>
                    </w:rPr>
                    <w:t>)</w:t>
                  </w:r>
                  <w:r>
                    <w:rPr>
                      <w:rFonts w:ascii="Times New Roman" w:hAnsi="Times New Roman"/>
                      <w:vertAlign w:val="subscript"/>
                    </w:rPr>
                    <w:t xml:space="preserve"> </w:t>
                  </w:r>
                  <w:r>
                    <w:rPr>
                      <w:rFonts w:ascii="Times New Roman" w:hAnsi="Times New Roman"/>
                    </w:rPr>
                    <w:t>x SMTC period)</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max(120ms, ceil (1.5 x 3 x K</w:t>
                  </w:r>
                  <w:r>
                    <w:rPr>
                      <w:rFonts w:ascii="Times New Roman" w:hAnsi="Times New Roman"/>
                      <w:vertAlign w:val="subscript"/>
                    </w:rPr>
                    <w:t>p</w:t>
                  </w:r>
                  <w:r>
                    <w:rPr>
                      <w:rFonts w:ascii="Times New Roman" w:hAnsi="Times New Roman"/>
                    </w:rPr>
                    <w:t>) x max(SMTC period,DRX cycle))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lang w:val="fr-FR"/>
                    </w:rPr>
                  </w:pPr>
                  <w:r>
                    <w:rPr>
                      <w:rFonts w:ascii="Times New Roman" w:hAnsi="Times New Roman"/>
                      <w:lang w:val="fr-FR"/>
                    </w:rPr>
                    <w:t>Ceil(3 x K</w:t>
                  </w:r>
                  <w:r>
                    <w:rPr>
                      <w:rFonts w:ascii="Times New Roman" w:hAnsi="Times New Roman"/>
                      <w:vertAlign w:val="subscript"/>
                      <w:lang w:val="fr-FR"/>
                    </w:rPr>
                    <w:t>p</w:t>
                  </w:r>
                  <w:r>
                    <w:rPr>
                      <w:rFonts w:ascii="Times New Roman" w:hAnsi="Times New Roman"/>
                      <w:lang w:val="fr-FR"/>
                    </w:rPr>
                    <w:t>) x DRX cycle x CSSF</w:t>
                  </w:r>
                  <w:r>
                    <w:rPr>
                      <w:rFonts w:ascii="Times New Roman" w:hAnsi="Times New Roman"/>
                      <w:vertAlign w:val="subscript"/>
                      <w:lang w:val="fr-FR"/>
                    </w:rPr>
                    <w:t>intra</w:t>
                  </w:r>
                  <w:r>
                    <w:rPr>
                      <w:rFonts w:ascii="Times New Roman" w:hAnsi="Times New Roman"/>
                      <w:vertAlign w:val="subscript"/>
                    </w:rPr>
                    <w:t>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0"/>
                    <w:rPr>
                      <w:rFonts w:ascii="Times New Roman" w:hAnsi="Times New Roman"/>
                    </w:rPr>
                  </w:pPr>
                  <w:r>
                    <w:rPr>
                      <w:rFonts w:ascii="Times New Roman" w:hAnsi="Times New Roman"/>
                      <w:lang w:eastAsia="ko-KR"/>
                    </w:rPr>
                    <w:t>NOTE</w:t>
                  </w:r>
                  <w:r>
                    <w:rPr>
                      <w:rFonts w:ascii="Times New Roman" w:hAnsi="Times New Roman"/>
                    </w:rPr>
                    <w:t xml:space="preserv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tc>
            </w:tr>
          </w:tbl>
          <w:p>
            <w:pPr>
              <w:pStyle w:val="55"/>
              <w:rPr>
                <w:rFonts w:ascii="Times New Roman" w:hAnsi="Times New Roman"/>
              </w:rPr>
            </w:pPr>
            <w:r>
              <w:rPr>
                <w:rFonts w:ascii="Times New Roman" w:hAnsi="Times New Roman"/>
              </w:rPr>
              <w:t>Table 9.2B.5.1-5: Time period for time index detection (FR1) for 1Rx RedCap UE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64"/>
              <w:gridCol w:w="4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T</w:t>
                  </w:r>
                  <w:r>
                    <w:rPr>
                      <w:rFonts w:ascii="Times New Roman" w:hAnsi="Times New Roman"/>
                      <w:vertAlign w:val="subscript"/>
                    </w:rPr>
                    <w:t>SSB_time_index_intra_RedCap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max(160ms, ceil(</w:t>
                  </w:r>
                  <w:r>
                    <w:rPr>
                      <w:rFonts w:ascii="Times New Roman" w:hAnsi="Times New Roman"/>
                      <w:highlight w:val="yellow"/>
                    </w:rPr>
                    <w:t xml:space="preserve"> 6</w:t>
                  </w:r>
                  <w:r>
                    <w:rPr>
                      <w:rFonts w:ascii="Times New Roman" w:hAnsi="Times New Roman"/>
                    </w:rPr>
                    <w:t xml:space="preserve"> x K</w:t>
                  </w:r>
                  <w:r>
                    <w:rPr>
                      <w:rFonts w:ascii="Times New Roman" w:hAnsi="Times New Roman"/>
                      <w:vertAlign w:val="subscript"/>
                    </w:rPr>
                    <w:t xml:space="preserve">p </w:t>
                  </w:r>
                  <w:r>
                    <w:rPr>
                      <w:rFonts w:ascii="Times New Roman" w:hAnsi="Times New Roman"/>
                    </w:rPr>
                    <w:t>)</w:t>
                  </w:r>
                  <w:r>
                    <w:rPr>
                      <w:rFonts w:ascii="Times New Roman" w:hAnsi="Times New Roman"/>
                      <w:vertAlign w:val="subscript"/>
                    </w:rPr>
                    <w:t xml:space="preserve"> </w:t>
                  </w:r>
                  <w:r>
                    <w:rPr>
                      <w:rFonts w:ascii="Times New Roman" w:hAnsi="Times New Roman"/>
                    </w:rPr>
                    <w:t>x SMTC period)</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 xml:space="preserve">max(160ms, ceil (1.5 x </w:t>
                  </w:r>
                  <w:r>
                    <w:rPr>
                      <w:rFonts w:ascii="Times New Roman" w:hAnsi="Times New Roman"/>
                      <w:highlight w:val="yellow"/>
                    </w:rPr>
                    <w:t>6</w:t>
                  </w:r>
                  <w:r>
                    <w:rPr>
                      <w:rFonts w:ascii="Times New Roman" w:hAnsi="Times New Roman"/>
                    </w:rPr>
                    <w:t xml:space="preserve"> x K</w:t>
                  </w:r>
                  <w:r>
                    <w:rPr>
                      <w:rFonts w:ascii="Times New Roman" w:hAnsi="Times New Roman"/>
                      <w:vertAlign w:val="subscript"/>
                    </w:rPr>
                    <w:t>p</w:t>
                  </w:r>
                  <w:r>
                    <w:rPr>
                      <w:rFonts w:ascii="Times New Roman" w:hAnsi="Times New Roman"/>
                    </w:rPr>
                    <w:t>) x max(SMTC period,DRX cycle)) x CSSF</w:t>
                  </w:r>
                  <w:r>
                    <w:rPr>
                      <w:rFonts w:ascii="Times New Roman" w:hAnsi="Times New Roman"/>
                      <w:vertAlign w:val="subscript"/>
                    </w:rPr>
                    <w:t>intra_RedCap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lang w:val="fr-FR"/>
                    </w:rPr>
                  </w:pPr>
                  <w:r>
                    <w:rPr>
                      <w:rFonts w:ascii="Times New Roman" w:hAnsi="Times New Roman"/>
                      <w:lang w:val="fr-FR"/>
                    </w:rPr>
                    <w:t>Ceil(</w:t>
                  </w:r>
                  <w:r>
                    <w:rPr>
                      <w:rFonts w:ascii="Times New Roman" w:hAnsi="Times New Roman"/>
                      <w:highlight w:val="yellow"/>
                      <w:lang w:val="fr-FR"/>
                    </w:rPr>
                    <w:t xml:space="preserve">6 </w:t>
                  </w:r>
                  <w:r>
                    <w:rPr>
                      <w:rFonts w:ascii="Times New Roman" w:hAnsi="Times New Roman"/>
                      <w:lang w:val="fr-FR"/>
                    </w:rPr>
                    <w:t>x K</w:t>
                  </w:r>
                  <w:r>
                    <w:rPr>
                      <w:rFonts w:ascii="Times New Roman" w:hAnsi="Times New Roman"/>
                      <w:vertAlign w:val="subscript"/>
                      <w:lang w:val="fr-FR"/>
                    </w:rPr>
                    <w:t>p</w:t>
                  </w:r>
                  <w:r>
                    <w:rPr>
                      <w:rFonts w:ascii="Times New Roman" w:hAnsi="Times New Roman"/>
                      <w:lang w:val="fr-FR"/>
                    </w:rPr>
                    <w:t>) x DRX cycle x CSSF</w:t>
                  </w:r>
                  <w:r>
                    <w:rPr>
                      <w:rFonts w:ascii="Times New Roman" w:hAnsi="Times New Roman"/>
                      <w:vertAlign w:val="subscript"/>
                      <w:lang w:val="fr-FR"/>
                    </w:rPr>
                    <w:t>intra</w:t>
                  </w:r>
                  <w:r>
                    <w:rPr>
                      <w:rFonts w:ascii="Times New Roman" w:hAnsi="Times New Roman"/>
                      <w:vertAlign w:val="subscript"/>
                    </w:rPr>
                    <w:t>_RedCap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0"/>
                    <w:rPr>
                      <w:rFonts w:ascii="Times New Roman" w:hAnsi="Times New Roman"/>
                    </w:rPr>
                  </w:pPr>
                  <w:r>
                    <w:rPr>
                      <w:rFonts w:ascii="Times New Roman" w:hAnsi="Times New Roman"/>
                      <w:lang w:eastAsia="ko-KR"/>
                    </w:rPr>
                    <w:t>NOTE</w:t>
                  </w:r>
                  <w:r>
                    <w:rPr>
                      <w:rFonts w:ascii="Times New Roman" w:hAnsi="Times New Roman"/>
                    </w:rPr>
                    <w:t xml:space="preserv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tc>
            </w:tr>
          </w:tbl>
          <w:p>
            <w:pPr>
              <w:spacing w:before="156" w:beforeLines="50" w:after="156" w:afterLines="50"/>
              <w:rPr>
                <w:rFonts w:ascii="Times New Roman" w:hAnsi="Times New Roman" w:cs="Times New Roman"/>
                <w:b/>
              </w:rPr>
            </w:pPr>
            <w:r>
              <w:rPr>
                <w:rFonts w:ascii="Times New Roman" w:hAnsi="Times New Roman" w:cs="Times New Roman"/>
                <w:b/>
              </w:rPr>
              <w:t>NTN scenario：</w:t>
            </w:r>
          </w:p>
          <w:p>
            <w:pPr>
              <w:pStyle w:val="55"/>
              <w:rPr>
                <w:rFonts w:ascii="Times New Roman" w:hAnsi="Times New Roman"/>
              </w:rPr>
            </w:pPr>
            <w:r>
              <w:rPr>
                <w:rFonts w:ascii="Times New Roman" w:hAnsi="Times New Roman"/>
              </w:rPr>
              <w:t>Table 9.2C.5.1-1: Time period for PSS/SSS detection, (Frequency range FR1)</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18"/>
              <w:gridCol w:w="4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T</w:t>
                  </w:r>
                  <w:r>
                    <w:rPr>
                      <w:rFonts w:ascii="Times New Roman" w:hAnsi="Times New Roman"/>
                      <w:vertAlign w:val="subscript"/>
                    </w:rPr>
                    <w:t>PSS/SSS_sync_intra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max( 600ms, ceil( 5 x K</w:t>
                  </w:r>
                  <w:r>
                    <w:rPr>
                      <w:rFonts w:ascii="Times New Roman" w:hAnsi="Times New Roman"/>
                      <w:vertAlign w:val="subscript"/>
                    </w:rPr>
                    <w:t>p</w:t>
                  </w:r>
                  <w:r>
                    <w:rPr>
                      <w:rFonts w:ascii="Times New Roman" w:hAnsi="Times New Roman"/>
                    </w:rPr>
                    <w:t xml:space="preserve"> x K</w:t>
                  </w:r>
                  <w:r>
                    <w:rPr>
                      <w:rFonts w:ascii="Times New Roman" w:hAnsi="Times New Roman"/>
                      <w:vertAlign w:val="subscript"/>
                      <w:lang w:val="en-US"/>
                    </w:rPr>
                    <w:t>layer1_measurement</w:t>
                  </w:r>
                  <w:r>
                    <w:rPr>
                      <w:rFonts w:ascii="Times New Roman" w:hAnsi="Times New Roman"/>
                    </w:rPr>
                    <w:t>) x K</w:t>
                  </w:r>
                  <w:r>
                    <w:rPr>
                      <w:rFonts w:ascii="Times New Roman" w:hAnsi="Times New Roman"/>
                      <w:vertAlign w:val="subscript"/>
                    </w:rPr>
                    <w:t>multi_SMTC</w:t>
                  </w:r>
                  <w:r>
                    <w:rPr>
                      <w:rFonts w:ascii="Times New Roman" w:hAnsi="Times New Roman"/>
                    </w:rPr>
                    <w:t xml:space="preserve"> x SMTC period )</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max( 600ms, ceil(</w:t>
                  </w:r>
                  <w:r>
                    <w:rPr>
                      <w:rFonts w:ascii="Times New Roman" w:hAnsi="Times New Roman"/>
                      <w:lang w:eastAsia="zh-CN"/>
                    </w:rPr>
                    <w:t>1.5</w:t>
                  </w:r>
                  <w:r>
                    <w:rPr>
                      <w:rFonts w:ascii="Times New Roman" w:hAnsi="Times New Roman"/>
                      <w:vertAlign w:val="superscript"/>
                      <w:lang w:eastAsia="zh-CN"/>
                    </w:rPr>
                    <w:t xml:space="preserve"> </w:t>
                  </w:r>
                  <w:r>
                    <w:rPr>
                      <w:rFonts w:ascii="Times New Roman" w:hAnsi="Times New Roman"/>
                    </w:rPr>
                    <w:t>x 5 x K</w:t>
                  </w:r>
                  <w:r>
                    <w:rPr>
                      <w:rFonts w:ascii="Times New Roman" w:hAnsi="Times New Roman"/>
                      <w:vertAlign w:val="subscript"/>
                    </w:rPr>
                    <w:t>p</w:t>
                  </w:r>
                  <w:r>
                    <w:rPr>
                      <w:rFonts w:ascii="Times New Roman" w:hAnsi="Times New Roman"/>
                    </w:rPr>
                    <w:t xml:space="preserve"> x K</w:t>
                  </w:r>
                  <w:r>
                    <w:rPr>
                      <w:rFonts w:ascii="Times New Roman" w:hAnsi="Times New Roman"/>
                      <w:vertAlign w:val="subscript"/>
                      <w:lang w:val="en-US"/>
                    </w:rPr>
                    <w:t>layer1_measurement</w:t>
                  </w:r>
                  <w:r>
                    <w:rPr>
                      <w:rFonts w:ascii="Times New Roman" w:hAnsi="Times New Roman"/>
                    </w:rPr>
                    <w:t>) x K</w:t>
                  </w:r>
                  <w:r>
                    <w:rPr>
                      <w:rFonts w:ascii="Times New Roman" w:hAnsi="Times New Roman"/>
                      <w:vertAlign w:val="subscript"/>
                    </w:rPr>
                    <w:t>multi_SMTC</w:t>
                  </w:r>
                  <w:r>
                    <w:rPr>
                      <w:rFonts w:ascii="Times New Roman" w:hAnsi="Times New Roman"/>
                    </w:rPr>
                    <w:t xml:space="preserve"> x max(SMTC period,DRX cycle))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lang w:val="fr-FR"/>
                    </w:rPr>
                  </w:pPr>
                  <w:r>
                    <w:rPr>
                      <w:rFonts w:ascii="Times New Roman" w:hAnsi="Times New Roman"/>
                      <w:lang w:val="fr-FR"/>
                    </w:rPr>
                    <w:t>ceil(5 x K</w:t>
                  </w:r>
                  <w:r>
                    <w:rPr>
                      <w:rFonts w:ascii="Times New Roman" w:hAnsi="Times New Roman"/>
                      <w:vertAlign w:val="subscript"/>
                      <w:lang w:val="fr-FR"/>
                    </w:rPr>
                    <w:t>p</w:t>
                  </w:r>
                  <w:r>
                    <w:rPr>
                      <w:rFonts w:ascii="Times New Roman" w:hAnsi="Times New Roman"/>
                    </w:rPr>
                    <w:t xml:space="preserve"> x K</w:t>
                  </w:r>
                  <w:r>
                    <w:rPr>
                      <w:rFonts w:ascii="Times New Roman" w:hAnsi="Times New Roman"/>
                      <w:vertAlign w:val="subscript"/>
                      <w:lang w:val="en-US"/>
                    </w:rPr>
                    <w:t>layer1_measurement</w:t>
                  </w:r>
                  <w:r>
                    <w:rPr>
                      <w:rFonts w:ascii="Times New Roman" w:hAnsi="Times New Roman"/>
                      <w:lang w:val="fr-FR"/>
                    </w:rPr>
                    <w:t xml:space="preserve">) x </w:t>
                  </w:r>
                  <w:r>
                    <w:rPr>
                      <w:rFonts w:ascii="Times New Roman" w:hAnsi="Times New Roman"/>
                    </w:rPr>
                    <w:t>K</w:t>
                  </w:r>
                  <w:r>
                    <w:rPr>
                      <w:rFonts w:ascii="Times New Roman" w:hAnsi="Times New Roman"/>
                      <w:vertAlign w:val="subscript"/>
                    </w:rPr>
                    <w:t>multi_SMTC</w:t>
                  </w:r>
                  <w:r>
                    <w:rPr>
                      <w:rFonts w:ascii="Times New Roman" w:hAnsi="Times New Roman"/>
                    </w:rPr>
                    <w:t xml:space="preserve"> x</w:t>
                  </w:r>
                  <w:r>
                    <w:rPr>
                      <w:rFonts w:ascii="Times New Roman" w:hAnsi="Times New Roman"/>
                      <w:lang w:val="fr-FR"/>
                    </w:rPr>
                    <w:t xml:space="preserve"> DRX cycle x CSSF</w:t>
                  </w:r>
                  <w:r>
                    <w:rPr>
                      <w:rFonts w:ascii="Times New Roman" w:hAnsi="Times New Roman"/>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0"/>
                    <w:rPr>
                      <w:rFonts w:ascii="Times New Roman" w:hAnsi="Times New Roman"/>
                    </w:rPr>
                  </w:pPr>
                  <w:r>
                    <w:rPr>
                      <w:rFonts w:ascii="Times New Roman" w:hAnsi="Times New Roman"/>
                    </w:rPr>
                    <w:t>NOTE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tc>
            </w:tr>
          </w:tbl>
          <w:p>
            <w:pPr>
              <w:rPr>
                <w:rFonts w:ascii="Times New Roman" w:hAnsi="Times New Roman" w:cs="Times New Roman"/>
              </w:rPr>
            </w:pPr>
          </w:p>
          <w:p>
            <w:pPr>
              <w:pStyle w:val="55"/>
              <w:rPr>
                <w:rFonts w:ascii="Times New Roman" w:hAnsi="Times New Roman"/>
              </w:rPr>
            </w:pPr>
            <w:r>
              <w:rPr>
                <w:rFonts w:ascii="Times New Roman" w:hAnsi="Times New Roman"/>
              </w:rPr>
              <w:t>Table 9.2C.5.1-2: Time period for time index detection (FR1)</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10"/>
              <w:gridCol w:w="4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DRX cycle</w:t>
                  </w:r>
                </w:p>
              </w:tc>
              <w:tc>
                <w:tcPr>
                  <w:tcW w:w="4621" w:type="dxa"/>
                  <w:tcBorders>
                    <w:top w:val="single" w:color="auto" w:sz="4" w:space="0"/>
                    <w:left w:val="single" w:color="auto" w:sz="4" w:space="0"/>
                    <w:bottom w:val="single" w:color="auto" w:sz="4" w:space="0"/>
                    <w:right w:val="single" w:color="auto" w:sz="4" w:space="0"/>
                  </w:tcBorders>
                </w:tcPr>
                <w:p>
                  <w:pPr>
                    <w:pStyle w:val="46"/>
                    <w:rPr>
                      <w:rFonts w:ascii="Times New Roman" w:hAnsi="Times New Roman"/>
                    </w:rPr>
                  </w:pPr>
                  <w:r>
                    <w:rPr>
                      <w:rFonts w:ascii="Times New Roman" w:hAnsi="Times New Roman"/>
                    </w:rPr>
                    <w:t>T</w:t>
                  </w:r>
                  <w:r>
                    <w:rPr>
                      <w:rFonts w:ascii="Times New Roman" w:hAnsi="Times New Roman"/>
                      <w:vertAlign w:val="subscript"/>
                    </w:rPr>
                    <w:t>SSB_time_index_intra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No DRX</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max(120ms, ceil( 3 x K</w:t>
                  </w:r>
                  <w:r>
                    <w:rPr>
                      <w:rFonts w:ascii="Times New Roman" w:hAnsi="Times New Roman"/>
                      <w:vertAlign w:val="subscript"/>
                    </w:rPr>
                    <w:t xml:space="preserve">p </w:t>
                  </w:r>
                  <w:r>
                    <w:rPr>
                      <w:rFonts w:ascii="Times New Roman" w:hAnsi="Times New Roman"/>
                    </w:rPr>
                    <w:t>x K</w:t>
                  </w:r>
                  <w:r>
                    <w:rPr>
                      <w:rFonts w:ascii="Times New Roman" w:hAnsi="Times New Roman"/>
                      <w:vertAlign w:val="subscript"/>
                      <w:lang w:val="en-US"/>
                    </w:rPr>
                    <w:t>layer1_measurement</w:t>
                  </w:r>
                  <w:r>
                    <w:rPr>
                      <w:rFonts w:ascii="Times New Roman" w:hAnsi="Times New Roman"/>
                    </w:rPr>
                    <w:t>)</w:t>
                  </w:r>
                  <w:r>
                    <w:rPr>
                      <w:rFonts w:ascii="Times New Roman" w:hAnsi="Times New Roman"/>
                      <w:vertAlign w:val="subscript"/>
                    </w:rPr>
                    <w:t xml:space="preserve"> </w:t>
                  </w:r>
                  <w:r>
                    <w:rPr>
                      <w:rFonts w:ascii="Times New Roman" w:hAnsi="Times New Roman"/>
                    </w:rPr>
                    <w:t>x K</w:t>
                  </w:r>
                  <w:r>
                    <w:rPr>
                      <w:rFonts w:ascii="Times New Roman" w:hAnsi="Times New Roman"/>
                      <w:vertAlign w:val="subscript"/>
                    </w:rPr>
                    <w:t>multi_SMTC</w:t>
                  </w:r>
                  <w:r>
                    <w:rPr>
                      <w:rFonts w:ascii="Times New Roman" w:hAnsi="Times New Roman"/>
                    </w:rPr>
                    <w:t xml:space="preserve"> x SMTC period)</w:t>
                  </w:r>
                  <w:r>
                    <w:rPr>
                      <w:rFonts w:ascii="Times New Roman" w:hAnsi="Times New Roman"/>
                      <w:vertAlign w:val="superscript"/>
                    </w:rPr>
                    <w:t>Note 1</w:t>
                  </w:r>
                  <w:r>
                    <w:rPr>
                      <w:rFonts w:ascii="Times New Roman" w:hAnsi="Times New Roman"/>
                    </w:rPr>
                    <w:t xml:space="preserv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max(120ms, ceil (</w:t>
                  </w:r>
                  <w:r>
                    <w:rPr>
                      <w:rFonts w:ascii="Times New Roman" w:hAnsi="Times New Roman"/>
                      <w:lang w:eastAsia="zh-CN"/>
                    </w:rPr>
                    <w:t>1.5</w:t>
                  </w:r>
                  <w:r>
                    <w:rPr>
                      <w:rFonts w:ascii="Times New Roman" w:hAnsi="Times New Roman"/>
                    </w:rPr>
                    <w:t xml:space="preserve"> x 3 x K</w:t>
                  </w:r>
                  <w:r>
                    <w:rPr>
                      <w:rFonts w:ascii="Times New Roman" w:hAnsi="Times New Roman"/>
                      <w:vertAlign w:val="subscript"/>
                    </w:rPr>
                    <w:t>p</w:t>
                  </w:r>
                  <w:r>
                    <w:rPr>
                      <w:rFonts w:ascii="Times New Roman" w:hAnsi="Times New Roman"/>
                    </w:rPr>
                    <w:t xml:space="preserve"> x K</w:t>
                  </w:r>
                  <w:r>
                    <w:rPr>
                      <w:rFonts w:ascii="Times New Roman" w:hAnsi="Times New Roman"/>
                      <w:vertAlign w:val="subscript"/>
                      <w:lang w:val="en-US"/>
                    </w:rPr>
                    <w:t>layer1_measurement</w:t>
                  </w:r>
                  <w:r>
                    <w:rPr>
                      <w:rFonts w:ascii="Times New Roman" w:hAnsi="Times New Roman"/>
                    </w:rPr>
                    <w:t>) x K</w:t>
                  </w:r>
                  <w:r>
                    <w:rPr>
                      <w:rFonts w:ascii="Times New Roman" w:hAnsi="Times New Roman"/>
                      <w:vertAlign w:val="subscript"/>
                    </w:rPr>
                    <w:t>multi_SMTC</w:t>
                  </w:r>
                  <w:r>
                    <w:rPr>
                      <w:rFonts w:ascii="Times New Roman" w:hAnsi="Times New Roman"/>
                    </w:rPr>
                    <w:t xml:space="preserve"> x max(SMTC period,DRX cycle)) x CSSF</w:t>
                  </w:r>
                  <w:r>
                    <w:rPr>
                      <w:rFonts w:ascii="Times New Roman" w:hAnsi="Times New Roman"/>
                      <w:vertAlign w:val="subscript"/>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rPr>
                  </w:pPr>
                  <w:r>
                    <w:rPr>
                      <w:rFonts w:ascii="Times New Roman" w:hAnsi="Times New Roman"/>
                    </w:rPr>
                    <w:t>DRX cycle&gt;320ms</w:t>
                  </w:r>
                </w:p>
              </w:tc>
              <w:tc>
                <w:tcPr>
                  <w:tcW w:w="4621" w:type="dxa"/>
                  <w:tcBorders>
                    <w:top w:val="single" w:color="auto" w:sz="4" w:space="0"/>
                    <w:left w:val="single" w:color="auto" w:sz="4" w:space="0"/>
                    <w:bottom w:val="single" w:color="auto" w:sz="4" w:space="0"/>
                    <w:right w:val="single" w:color="auto" w:sz="4" w:space="0"/>
                  </w:tcBorders>
                </w:tcPr>
                <w:p>
                  <w:pPr>
                    <w:pStyle w:val="47"/>
                    <w:rPr>
                      <w:rFonts w:ascii="Times New Roman" w:hAnsi="Times New Roman"/>
                      <w:b/>
                      <w:lang w:val="fr-FR"/>
                    </w:rPr>
                  </w:pPr>
                  <w:r>
                    <w:rPr>
                      <w:rFonts w:ascii="Times New Roman" w:hAnsi="Times New Roman"/>
                      <w:lang w:val="fr-FR"/>
                    </w:rPr>
                    <w:t>Ceil(3 x K</w:t>
                  </w:r>
                  <w:r>
                    <w:rPr>
                      <w:rFonts w:ascii="Times New Roman" w:hAnsi="Times New Roman"/>
                      <w:vertAlign w:val="subscript"/>
                      <w:lang w:val="fr-FR"/>
                    </w:rPr>
                    <w:t>p</w:t>
                  </w:r>
                  <w:r>
                    <w:rPr>
                      <w:rFonts w:ascii="Times New Roman" w:hAnsi="Times New Roman"/>
                    </w:rPr>
                    <w:t xml:space="preserve"> x K</w:t>
                  </w:r>
                  <w:r>
                    <w:rPr>
                      <w:rFonts w:ascii="Times New Roman" w:hAnsi="Times New Roman"/>
                      <w:vertAlign w:val="subscript"/>
                      <w:lang w:val="en-US"/>
                    </w:rPr>
                    <w:t>layer1_measurement</w:t>
                  </w:r>
                  <w:r>
                    <w:rPr>
                      <w:rFonts w:ascii="Times New Roman" w:hAnsi="Times New Roman"/>
                      <w:lang w:val="fr-FR"/>
                    </w:rPr>
                    <w:t xml:space="preserve">) x </w:t>
                  </w:r>
                  <w:r>
                    <w:rPr>
                      <w:rFonts w:ascii="Times New Roman" w:hAnsi="Times New Roman"/>
                    </w:rPr>
                    <w:t>K</w:t>
                  </w:r>
                  <w:r>
                    <w:rPr>
                      <w:rFonts w:ascii="Times New Roman" w:hAnsi="Times New Roman"/>
                      <w:vertAlign w:val="subscript"/>
                    </w:rPr>
                    <w:t>multi_SMTC</w:t>
                  </w:r>
                  <w:r>
                    <w:rPr>
                      <w:rFonts w:ascii="Times New Roman" w:hAnsi="Times New Roman"/>
                    </w:rPr>
                    <w:t xml:space="preserve"> x</w:t>
                  </w:r>
                  <w:r>
                    <w:rPr>
                      <w:rFonts w:ascii="Times New Roman" w:hAnsi="Times New Roman"/>
                      <w:lang w:val="fr-FR"/>
                    </w:rPr>
                    <w:t xml:space="preserve"> DRX cycle x CSSF</w:t>
                  </w:r>
                  <w:r>
                    <w:rPr>
                      <w:rFonts w:ascii="Times New Roman" w:hAnsi="Times New Roman"/>
                      <w:vertAlign w:val="subscript"/>
                      <w:lang w:val="fr-FR"/>
                    </w:rPr>
                    <w:t>intra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1" w:type="dxa"/>
                  <w:gridSpan w:val="2"/>
                  <w:tcBorders>
                    <w:top w:val="single" w:color="auto" w:sz="4" w:space="0"/>
                    <w:left w:val="single" w:color="auto" w:sz="4" w:space="0"/>
                    <w:bottom w:val="single" w:color="auto" w:sz="4" w:space="0"/>
                    <w:right w:val="single" w:color="auto" w:sz="4" w:space="0"/>
                  </w:tcBorders>
                </w:tcPr>
                <w:p>
                  <w:pPr>
                    <w:pStyle w:val="60"/>
                    <w:rPr>
                      <w:rFonts w:ascii="Times New Roman" w:hAnsi="Times New Roman"/>
                    </w:rPr>
                  </w:pPr>
                  <w:r>
                    <w:rPr>
                      <w:rFonts w:ascii="Times New Roman" w:hAnsi="Times New Roman"/>
                      <w:lang w:eastAsia="ko-KR"/>
                    </w:rPr>
                    <w:t>NOTE</w:t>
                  </w:r>
                  <w:r>
                    <w:rPr>
                      <w:rFonts w:ascii="Times New Roman" w:hAnsi="Times New Roman"/>
                    </w:rPr>
                    <w:t xml:space="preserve"> 1:</w:t>
                  </w:r>
                  <w:r>
                    <w:rPr>
                      <w:rFonts w:ascii="Times New Roman" w:hAnsi="Times New Roman"/>
                    </w:rPr>
                    <w:tab/>
                  </w:r>
                  <w:r>
                    <w:rPr>
                      <w:rFonts w:ascii="Times New Roman" w:hAnsi="Times New Roman"/>
                    </w:rPr>
                    <w:t>If different SMTC periodicities are configured for different cells, the SMTC period in the requirement is the one used by the cell being identified</w:t>
                  </w:r>
                </w:p>
              </w:tc>
            </w:tr>
          </w:tbl>
          <w:p>
            <w:pPr>
              <w:spacing w:before="156" w:beforeLines="50" w:after="156" w:afterLines="50"/>
              <w:rPr>
                <w:rFonts w:ascii="Times New Roman" w:hAnsi="Times New Roman" w:cs="Times New Roman"/>
              </w:rPr>
            </w:pP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Based on the table in above, we find that the legacy NR NTN requirements and the legacy  requirements for 2Rx RedCap UE are the same as legacy requirements. For 1Rx RedCap UE, the time period of PSS/SSS detection and time index detection are relaxed and highlight can be seen in the table.</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From my perspective, the time period of PSS/SSS detection and time index detection can be reused for 2Rx RedCap UE in NTN. For 1Rx RedCap UE in NTN, the legacy time period for 1Rx RedCap UE can be baseline.</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4: The legacy NR NTN requirements and the legacy requirements for  2Rx RedCap UE are the same as legacy requirements. For 1Rx RedCap UE, the time period are relaxed.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5: RAN4 shall define time period of PSS/SSS detection and time index detection. The requirements for 1Rx and 2Rx RedCap UE in NTN scenario shall reuse the legacy RedCap requirements.</w:t>
      </w:r>
    </w:p>
    <w:p>
      <w:pPr>
        <w:overflowPunct w:val="0"/>
        <w:autoSpaceDE w:val="0"/>
        <w:autoSpaceDN w:val="0"/>
        <w:adjustRightInd w:val="0"/>
        <w:spacing w:before="120" w:after="120" w:line="360" w:lineRule="auto"/>
        <w:jc w:val="both"/>
        <w:textAlignment w:val="baseline"/>
        <w:rPr>
          <w:rFonts w:hint="default" w:ascii="Times New Roman" w:hAnsi="Times New Roman" w:eastAsia="宋体" w:cs="Times New Roman"/>
          <w:b/>
          <w:bCs/>
          <w:i/>
          <w:iCs/>
          <w:sz w:val="22"/>
          <w:u w:val="single"/>
          <w:lang w:val="en-US" w:eastAsia="zh-CN"/>
        </w:rPr>
      </w:pPr>
      <w:r>
        <w:rPr>
          <w:rFonts w:hint="eastAsia" w:ascii="Times New Roman" w:hAnsi="Times New Roman" w:eastAsia="宋体" w:cs="Times New Roman"/>
          <w:b/>
          <w:bCs/>
          <w:i/>
          <w:iCs/>
          <w:sz w:val="22"/>
          <w:u w:val="single"/>
          <w:lang w:val="en-US" w:eastAsia="zh-CN"/>
        </w:rPr>
        <w:t>Measurement period (intra-frequency measurement without measurement gaps)</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Based on R17/R18 discussion, we also discussed the legacy TN/ legacy RedCap UE/legacy NR NTN measurement requirements, and we find that the requirements are same in TS 38.133. Thus, to my understanding, the RedCap UEs with 1Rx and 2Rx in NTN shall own the same measurement period requirements as legacy RedCap UE.</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5：The measurement period requirements for legacy TN/ legacy RedCap UE/legacy NR NTN are same in TS 38.133.</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6: The RedCap UEs with 1Rx and 2Rx in NTN shall own the same measurement period requirements as legacy RedCap UE.</w:t>
      </w:r>
    </w:p>
    <w:p>
      <w:pPr>
        <w:pStyle w:val="6"/>
        <w:overflowPunct w:val="0"/>
        <w:autoSpaceDE w:val="0"/>
        <w:autoSpaceDN w:val="0"/>
        <w:adjustRightInd w:val="0"/>
        <w:spacing w:before="120" w:after="120" w:line="360" w:lineRule="auto"/>
        <w:jc w:val="both"/>
        <w:textAlignment w:val="baseline"/>
        <w:rPr>
          <w:rFonts w:hint="default"/>
          <w:lang w:val="en-US" w:eastAsia="zh-CN"/>
        </w:rPr>
      </w:pPr>
      <w:r>
        <w:rPr>
          <w:rFonts w:hint="eastAsia"/>
          <w:lang w:val="en-US" w:eastAsia="zh-CN"/>
        </w:rPr>
        <w:t>2.1.1.1.2 Unique requirements for NTN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legacy, RAN4 has already studied several unique requirements for NTN based on its special characteristics. In the last meeting, we also agreed several potential RRM requirements shall be studied for RedCap UEs in NTN scenario. And the following potential requirements agreed in last meeting can be seen as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15"/>
        <w:gridCol w:w="5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5" w:type="dxa"/>
          </w:tcPr>
          <w:p>
            <w:pPr>
              <w:overflowPunct w:val="0"/>
              <w:autoSpaceDE w:val="0"/>
              <w:autoSpaceDN w:val="0"/>
              <w:adjustRightInd w:val="0"/>
              <w:spacing w:before="120" w:after="120" w:line="360" w:lineRule="auto"/>
              <w:jc w:val="both"/>
              <w:textAlignment w:val="baseline"/>
              <w:rPr>
                <w:rFonts w:hint="default" w:ascii="Times New Roman" w:hAnsi="Times New Roman" w:eastAsia="宋体" w:cs="Times New Roman"/>
                <w:b w:val="0"/>
                <w:bCs w:val="0"/>
                <w:sz w:val="22"/>
                <w:vertAlign w:val="baseline"/>
                <w:lang w:val="en-US" w:eastAsia="zh-CN"/>
              </w:rPr>
            </w:pPr>
            <w:r>
              <w:rPr>
                <w:rFonts w:hint="eastAsia" w:eastAsia="宋体" w:cs="Times New Roman"/>
                <w:b w:val="0"/>
                <w:bCs w:val="0"/>
                <w:sz w:val="22"/>
                <w:vertAlign w:val="baseline"/>
                <w:lang w:val="en-US" w:eastAsia="zh-CN"/>
              </w:rPr>
              <w:t>Satellite switch with re-synchronization</w:t>
            </w:r>
          </w:p>
        </w:tc>
        <w:tc>
          <w:tcPr>
            <w:tcW w:w="5442" w:type="dxa"/>
          </w:tcPr>
          <w:p>
            <w:pPr>
              <w:overflowPunct w:val="0"/>
              <w:autoSpaceDE w:val="0"/>
              <w:autoSpaceDN w:val="0"/>
              <w:adjustRightInd w:val="0"/>
              <w:spacing w:before="120" w:after="120" w:line="360" w:lineRule="auto"/>
              <w:jc w:val="both"/>
              <w:textAlignment w:val="baseline"/>
              <w:rPr>
                <w:rFonts w:hint="default" w:ascii="Times New Roman" w:hAnsi="Times New Roman" w:eastAsia="宋体" w:cs="Times New Roman"/>
                <w:b w:val="0"/>
                <w:bCs w:val="0"/>
                <w:sz w:val="22"/>
                <w:vertAlign w:val="baseline"/>
                <w:lang w:val="en-US" w:eastAsia="zh-CN"/>
              </w:rPr>
            </w:pPr>
            <w:r>
              <w:rPr>
                <w:rFonts w:hint="eastAsia" w:eastAsia="宋体" w:cs="Times New Roman"/>
                <w:b w:val="0"/>
                <w:bCs w:val="0"/>
                <w:sz w:val="22"/>
                <w:vertAlign w:val="baseline"/>
                <w:lang w:val="en-US" w:eastAsia="zh-CN"/>
              </w:rPr>
              <w:t>Hard / Soft switching delay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5" w:type="dxa"/>
          </w:tcPr>
          <w:p>
            <w:pPr>
              <w:overflowPunct w:val="0"/>
              <w:autoSpaceDE w:val="0"/>
              <w:autoSpaceDN w:val="0"/>
              <w:adjustRightInd w:val="0"/>
              <w:spacing w:before="120" w:after="120" w:line="360" w:lineRule="auto"/>
              <w:jc w:val="both"/>
              <w:textAlignment w:val="baseline"/>
              <w:rPr>
                <w:rFonts w:hint="default" w:ascii="Times New Roman" w:hAnsi="Times New Roman" w:eastAsia="宋体" w:cs="Times New Roman"/>
                <w:b w:val="0"/>
                <w:bCs w:val="0"/>
                <w:sz w:val="22"/>
                <w:vertAlign w:val="baseline"/>
                <w:lang w:val="en-US" w:eastAsia="zh-CN"/>
              </w:rPr>
            </w:pPr>
            <w:r>
              <w:rPr>
                <w:rFonts w:hint="eastAsia" w:eastAsia="宋体" w:cs="Times New Roman"/>
                <w:b w:val="0"/>
                <w:bCs w:val="0"/>
                <w:sz w:val="22"/>
                <w:vertAlign w:val="baseline"/>
                <w:lang w:val="en-US" w:eastAsia="zh-CN"/>
              </w:rPr>
              <w:t>Pathloss reference signal switching delay</w:t>
            </w:r>
          </w:p>
        </w:tc>
        <w:tc>
          <w:tcPr>
            <w:tcW w:w="5442" w:type="dxa"/>
          </w:tcPr>
          <w:p>
            <w:pPr>
              <w:overflowPunct w:val="0"/>
              <w:autoSpaceDE w:val="0"/>
              <w:autoSpaceDN w:val="0"/>
              <w:adjustRightInd w:val="0"/>
              <w:spacing w:before="120" w:after="120" w:line="360" w:lineRule="auto"/>
              <w:jc w:val="both"/>
              <w:textAlignment w:val="baseline"/>
              <w:rPr>
                <w:rFonts w:hint="default" w:ascii="Times New Roman" w:hAnsi="Times New Roman" w:eastAsia="宋体" w:cs="Times New Roman"/>
                <w:b w:val="0"/>
                <w:bCs w:val="0"/>
                <w:sz w:val="22"/>
                <w:vertAlign w:val="baseline"/>
                <w:lang w:val="en-US" w:eastAsia="zh-CN"/>
              </w:rPr>
            </w:pPr>
            <w:r>
              <w:rPr>
                <w:rFonts w:hint="eastAsia" w:eastAsia="宋体" w:cs="Times New Roman"/>
                <w:b w:val="0"/>
                <w:bCs w:val="0"/>
                <w:sz w:val="22"/>
                <w:vertAlign w:val="baseline"/>
                <w:lang w:val="en-US" w:eastAsia="zh-CN"/>
              </w:rPr>
              <w:t>MAC-CE based pathloss reference signal switch delay</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Also, the following aspects in the below table shall firstly study the feasibility and then study the related RRM requirements:</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numPr>
                <w:ilvl w:val="-1"/>
                <w:numId w:val="0"/>
              </w:numPr>
              <w:overflowPunct w:val="0"/>
              <w:autoSpaceDE w:val="0"/>
              <w:autoSpaceDN w:val="0"/>
              <w:adjustRightInd w:val="0"/>
              <w:spacing w:before="120" w:after="120" w:line="360" w:lineRule="auto"/>
              <w:ind w:left="0" w:firstLine="0"/>
              <w:jc w:val="both"/>
              <w:textAlignment w:val="baseline"/>
              <w:rPr>
                <w:rFonts w:hint="default" w:eastAsia="宋体"/>
                <w:sz w:val="22"/>
                <w:szCs w:val="20"/>
                <w:vertAlign w:val="baseline"/>
                <w:lang w:val="en-US" w:eastAsia="zh-CN"/>
              </w:rPr>
            </w:pPr>
            <w:r>
              <w:rPr>
                <w:rFonts w:hint="eastAsia" w:eastAsia="宋体"/>
                <w:sz w:val="22"/>
                <w:szCs w:val="20"/>
                <w:highlight w:val="yellow"/>
                <w:vertAlign w:val="baseline"/>
                <w:lang w:val="en-US" w:eastAsia="zh-CN"/>
              </w:rPr>
              <w:t>FFS:</w:t>
            </w:r>
            <w:r>
              <w:rPr>
                <w:rFonts w:hint="eastAsia" w:eastAsia="宋体"/>
                <w:sz w:val="22"/>
                <w:szCs w:val="20"/>
                <w:vertAlign w:val="baseline"/>
                <w:lang w:val="en-US" w:eastAsia="zh-CN"/>
              </w:rPr>
              <w:t xml:space="preserve"> </w:t>
            </w:r>
          </w:p>
          <w:p>
            <w:pPr>
              <w:numPr>
                <w:ilvl w:val="0"/>
                <w:numId w:val="7"/>
              </w:numPr>
              <w:overflowPunct w:val="0"/>
              <w:autoSpaceDE w:val="0"/>
              <w:autoSpaceDN w:val="0"/>
              <w:adjustRightInd w:val="0"/>
              <w:spacing w:before="120" w:after="120" w:line="360" w:lineRule="auto"/>
              <w:ind w:left="420" w:hanging="420"/>
              <w:jc w:val="both"/>
              <w:textAlignment w:val="baseline"/>
              <w:rPr>
                <w:rFonts w:hint="default" w:eastAsia="宋体"/>
                <w:sz w:val="22"/>
                <w:szCs w:val="20"/>
                <w:vertAlign w:val="baseline"/>
                <w:lang w:val="en-US" w:eastAsia="zh-CN"/>
              </w:rPr>
            </w:pPr>
            <w:r>
              <w:rPr>
                <w:rFonts w:hint="eastAsia" w:eastAsia="宋体"/>
                <w:sz w:val="22"/>
                <w:szCs w:val="20"/>
                <w:vertAlign w:val="baseline"/>
                <w:lang w:val="en-US" w:eastAsia="zh-CN"/>
              </w:rPr>
              <w:t xml:space="preserve">R17/18 Conditional Handover </w:t>
            </w:r>
          </w:p>
          <w:p>
            <w:pPr>
              <w:numPr>
                <w:ilvl w:val="0"/>
                <w:numId w:val="7"/>
              </w:numPr>
              <w:overflowPunct w:val="0"/>
              <w:autoSpaceDE w:val="0"/>
              <w:autoSpaceDN w:val="0"/>
              <w:adjustRightInd w:val="0"/>
              <w:spacing w:before="120" w:after="120" w:line="360" w:lineRule="auto"/>
              <w:ind w:left="420" w:hanging="420"/>
              <w:jc w:val="both"/>
              <w:textAlignment w:val="baseline"/>
              <w:rPr>
                <w:rFonts w:hint="default" w:eastAsia="宋体" w:cs="Times New Roman"/>
                <w:b w:val="0"/>
                <w:bCs w:val="0"/>
                <w:sz w:val="22"/>
                <w:vertAlign w:val="baseline"/>
                <w:lang w:val="en-US" w:eastAsia="zh-CN"/>
              </w:rPr>
            </w:pPr>
            <w:r>
              <w:rPr>
                <w:rFonts w:hint="eastAsia" w:eastAsia="宋体"/>
                <w:sz w:val="22"/>
                <w:szCs w:val="20"/>
                <w:vertAlign w:val="baseline"/>
                <w:lang w:val="en-US" w:eastAsia="zh-CN"/>
              </w:rPr>
              <w:t>RACH-less Handover</w:t>
            </w:r>
          </w:p>
          <w:p>
            <w:pPr>
              <w:numPr>
                <w:ilvl w:val="0"/>
                <w:numId w:val="7"/>
              </w:numPr>
              <w:overflowPunct w:val="0"/>
              <w:autoSpaceDE w:val="0"/>
              <w:autoSpaceDN w:val="0"/>
              <w:adjustRightInd w:val="0"/>
              <w:spacing w:before="120" w:after="120" w:line="360" w:lineRule="auto"/>
              <w:ind w:left="420" w:hanging="420"/>
              <w:jc w:val="both"/>
              <w:textAlignment w:val="baseline"/>
              <w:rPr>
                <w:rFonts w:hint="default" w:eastAsia="宋体" w:cs="Times New Roman"/>
                <w:b w:val="0"/>
                <w:bCs w:val="0"/>
                <w:sz w:val="22"/>
                <w:vertAlign w:val="baseline"/>
                <w:lang w:val="en-US" w:eastAsia="zh-CN"/>
              </w:rPr>
            </w:pPr>
            <w:r>
              <w:rPr>
                <w:rFonts w:hint="eastAsia" w:eastAsia="Times New Roman"/>
                <w:sz w:val="20"/>
                <w:szCs w:val="20"/>
                <w:vertAlign w:val="baseline"/>
                <w:lang w:val="en-US" w:eastAsia="zh-CN"/>
              </w:rPr>
              <w:t>Minimization of Derive Tests (MDT) in RRC Idle state and RRC Inactive state</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Next, we will also study each requirements one by one.</w:t>
      </w:r>
    </w:p>
    <w:p>
      <w:pPr>
        <w:pStyle w:val="7"/>
        <w:overflowPunct w:val="0"/>
        <w:autoSpaceDE w:val="0"/>
        <w:autoSpaceDN w:val="0"/>
        <w:adjustRightInd w:val="0"/>
        <w:spacing w:before="120" w:after="120" w:line="360" w:lineRule="auto"/>
        <w:ind w:left="0"/>
        <w:jc w:val="both"/>
        <w:textAlignment w:val="baseline"/>
        <w:rPr>
          <w:rFonts w:hint="default"/>
          <w:lang w:val="en-US" w:eastAsia="zh-CN"/>
        </w:rPr>
      </w:pPr>
      <w:r>
        <w:rPr>
          <w:rFonts w:hint="eastAsia"/>
          <w:lang w:val="en-US" w:eastAsia="zh-CN"/>
        </w:rPr>
        <w:t>2.1.2.1.2.1 Satellite switch with re-synchronization</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For satellite switch, this is NTN specific requirement that we have hard satellite switch and soft satellite switch. </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tabs>
                <w:tab w:val="left" w:pos="7200"/>
              </w:tabs>
            </w:pPr>
            <w:r>
              <w:t xml:space="preserve">The purpose of NR </w:t>
            </w:r>
            <w:r>
              <w:rPr>
                <w:rFonts w:hint="eastAsia"/>
                <w:lang w:eastAsia="zh-CN"/>
              </w:rPr>
              <w:t xml:space="preserve">SAN </w:t>
            </w:r>
            <w:r>
              <w:t xml:space="preserve">Satellite switching </w:t>
            </w:r>
            <w:r>
              <w:rPr>
                <w:lang w:val="en-US" w:eastAsia="ko-KR"/>
              </w:rPr>
              <w:t>with re-synchronization</w:t>
            </w:r>
            <w:r>
              <w:t xml:space="preserve"> is to switch satellite in the</w:t>
            </w:r>
            <w:r>
              <w:rPr>
                <w:highlight w:val="yellow"/>
              </w:rPr>
              <w:t xml:space="preserve"> same SSB frequency and same gNB</w:t>
            </w:r>
            <w:r>
              <w:t xml:space="preserve"> without PCI changing. The requirements in this clause are applicable to SA NR</w:t>
            </w:r>
            <w:r>
              <w:rPr>
                <w:rFonts w:hint="eastAsia"/>
                <w:lang w:eastAsia="zh-CN"/>
              </w:rPr>
              <w:t xml:space="preserve"> SAN</w:t>
            </w:r>
            <w:r>
              <w:t>.</w:t>
            </w:r>
          </w:p>
          <w:p>
            <w:pPr>
              <w:rPr>
                <w:rFonts w:hint="eastAsia"/>
                <w:vertAlign w:val="baseline"/>
                <w:lang w:val="en-US" w:eastAsia="zh-CN"/>
              </w:rPr>
            </w:pPr>
            <w:r>
              <w:t xml:space="preserve">The requirements in this clause are applicable to both hard and soft switch over in </w:t>
            </w:r>
            <w:r>
              <w:rPr>
                <w:b/>
                <w:bCs/>
                <w:highlight w:val="yellow"/>
                <w:lang w:eastAsia="zh-CN"/>
              </w:rPr>
              <w:t>quasi-earth fixed scenario</w:t>
            </w:r>
            <w:r>
              <w:rPr>
                <w:highlight w:val="yellow"/>
              </w:rPr>
              <w:t xml:space="preserve"> from NR</w:t>
            </w:r>
            <w:r>
              <w:rPr>
                <w:rFonts w:hint="eastAsia"/>
                <w:highlight w:val="yellow"/>
                <w:lang w:eastAsia="zh-CN"/>
              </w:rPr>
              <w:t xml:space="preserve"> SAN</w:t>
            </w:r>
            <w:r>
              <w:rPr>
                <w:highlight w:val="yellow"/>
              </w:rPr>
              <w:t xml:space="preserve"> FR1 cell to NR</w:t>
            </w:r>
            <w:r>
              <w:rPr>
                <w:rFonts w:hint="eastAsia"/>
                <w:highlight w:val="yellow"/>
                <w:lang w:eastAsia="zh-CN"/>
              </w:rPr>
              <w:t xml:space="preserve"> SAN</w:t>
            </w:r>
            <w:r>
              <w:rPr>
                <w:highlight w:val="yellow"/>
              </w:rPr>
              <w:t xml:space="preserve"> FR1 cell</w:t>
            </w:r>
            <w:r>
              <w:t>.</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For hard satellite switch, when the UE switches from the current serving satellite to a new satellite, it first disconnects from the original satellite before establishing a connection with the new one.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soft satellite switch, it allows the UE to maintain connections with multiple satellites simultaneously. During the handover process, the UE first establishes a communication link with the target satellite and only disconnects from the original satellite after ensuring the new connection is stable.</w:t>
      </w:r>
    </w:p>
    <w:p>
      <w:pPr>
        <w:pStyle w:val="9"/>
        <w:numPr>
          <w:ilvl w:val="0"/>
          <w:numId w:val="8"/>
        </w:numPr>
        <w:overflowPunct w:val="0"/>
        <w:autoSpaceDE w:val="0"/>
        <w:autoSpaceDN w:val="0"/>
        <w:adjustRightInd w:val="0"/>
        <w:spacing w:before="120" w:after="120" w:line="360" w:lineRule="auto"/>
        <w:ind w:left="425" w:hanging="425"/>
        <w:jc w:val="both"/>
        <w:textAlignment w:val="baseline"/>
        <w:rPr>
          <w:rFonts w:hint="eastAsia" w:eastAsia="Times New Roman" w:cs="Times New Roman"/>
          <w:b w:val="0"/>
          <w:bCs w:val="0"/>
          <w:sz w:val="20"/>
          <w:lang w:val="en-US" w:eastAsia="zh-CN"/>
        </w:rPr>
      </w:pPr>
      <w:r>
        <w:rPr>
          <w:rFonts w:hint="eastAsia" w:eastAsia="Times New Roman" w:cs="Times New Roman"/>
          <w:b w:val="0"/>
          <w:bCs w:val="0"/>
          <w:sz w:val="20"/>
          <w:lang w:val="en-US" w:eastAsia="zh-CN"/>
        </w:rPr>
        <w:t>Hard satellite switching delay</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hard satellite switch delay, the main delay can be seen as below:</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3746500" cy="1722120"/>
            <wp:effectExtent l="0" t="0" r="2540" b="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6"/>
                    <a:stretch>
                      <a:fillRect/>
                    </a:stretch>
                  </pic:blipFill>
                  <pic:spPr>
                    <a:xfrm>
                      <a:off x="0" y="0"/>
                      <a:ext cx="3746500" cy="1722120"/>
                    </a:xfrm>
                    <a:prstGeom prst="rect">
                      <a:avLst/>
                    </a:prstGeom>
                    <a:noFill/>
                    <a:ln w="9525">
                      <a:noFill/>
                    </a:ln>
                  </pic:spPr>
                </pic:pic>
              </a:graphicData>
            </a:graphic>
          </wp:inline>
        </w:drawing>
      </w:r>
    </w:p>
    <w:p>
      <w:pPr>
        <w:keepNext w:val="0"/>
        <w:keepLines w:val="0"/>
        <w:widowControl/>
        <w:suppressLineNumbers w:val="0"/>
        <w:jc w:val="center"/>
        <w:rPr>
          <w:rFonts w:hint="eastAsia" w:cs="Times New Roman"/>
          <w:kern w:val="0"/>
          <w:sz w:val="20"/>
          <w:szCs w:val="20"/>
          <w:lang w:val="en-US" w:eastAsia="zh-CN" w:bidi="ar"/>
        </w:rPr>
      </w:pPr>
      <w:r>
        <w:rPr>
          <w:rFonts w:hint="eastAsia" w:ascii="Times New Roman" w:hAnsi="Times New Roman" w:eastAsia="Times New Roman" w:cs="Times New Roman"/>
          <w:kern w:val="0"/>
          <w:sz w:val="20"/>
          <w:szCs w:val="20"/>
          <w:lang w:val="en-US" w:eastAsia="zh-CN" w:bidi="ar"/>
        </w:rPr>
        <w:t>Figure</w:t>
      </w:r>
      <w:r>
        <w:rPr>
          <w:rFonts w:hint="eastAsia" w:cs="Times New Roman"/>
          <w:kern w:val="0"/>
          <w:sz w:val="20"/>
          <w:szCs w:val="20"/>
          <w:lang w:val="en-US" w:eastAsia="zh-CN" w:bidi="ar"/>
        </w:rPr>
        <w:t>1  Hard satellite switch delay</w:t>
      </w:r>
    </w:p>
    <w:p>
      <w:pPr>
        <w:rPr>
          <w:rFonts w:cs="v4.2.0"/>
          <w:position w:val="-6"/>
        </w:rPr>
      </w:pPr>
      <w:r>
        <w:rPr>
          <w:rFonts w:hint="eastAsia" w:eastAsia="宋体"/>
          <w:sz w:val="20"/>
          <w:szCs w:val="20"/>
          <w:lang w:val="en-US" w:eastAsia="zh-CN"/>
        </w:rPr>
        <w:t>The interruption time shall be less than</w:t>
      </w:r>
      <w:r>
        <w:rPr>
          <w:rFonts w:cs="v4.2.0"/>
        </w:rPr>
        <w:t xml:space="preserve"> T</w:t>
      </w:r>
      <w:r>
        <w:rPr>
          <w:rFonts w:cs="v4.2.0"/>
          <w:vertAlign w:val="subscript"/>
        </w:rPr>
        <w:t>interrupt</w:t>
      </w:r>
    </w:p>
    <w:p>
      <w:pPr>
        <w:keepNext w:val="0"/>
        <w:keepLines w:val="0"/>
        <w:widowControl/>
        <w:suppressLineNumbers w:val="0"/>
        <w:jc w:val="center"/>
        <w:rPr>
          <w:rFonts w:hint="default" w:ascii="Times New Roman" w:hAnsi="Times New Roman" w:eastAsia="Times New Roman" w:cs="Times New Roman"/>
          <w:kern w:val="0"/>
          <w:sz w:val="20"/>
          <w:szCs w:val="20"/>
          <w:lang w:val="en-US" w:eastAsia="zh-CN" w:bidi="ar"/>
        </w:rPr>
      </w:pP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First of all, we find that the interruption time in hard satellite switch delay is nearly same as the RedCap UEs handover requirements. We can see the each component of interruption time in legacy hard satellite switch delay defined in existing spec:</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3"/>
              <w:rPr>
                <w:rFonts w:hint="default" w:eastAsia="宋体" w:cs="v4.2.0"/>
                <w:i/>
                <w:iCs/>
                <w:lang w:val="en-US" w:eastAsia="zh-CN"/>
              </w:rPr>
            </w:pPr>
            <w:r>
              <w:rPr>
                <w:rFonts w:hint="eastAsia" w:eastAsia="宋体" w:cs="v4.2.0"/>
                <w:i/>
                <w:iCs/>
                <w:lang w:val="en-US" w:eastAsia="zh-CN"/>
              </w:rPr>
              <w:t>Legacy Satellite hard switching interruption time:</w:t>
            </w:r>
          </w:p>
          <w:p>
            <w:pPr>
              <w:pStyle w:val="53"/>
              <w:rPr>
                <w:rFonts w:cs="v4.2.0"/>
                <w:position w:val="-6"/>
              </w:rPr>
            </w:pPr>
            <w:r>
              <w:rPr>
                <w:rFonts w:cs="v4.2.0"/>
              </w:rPr>
              <w:t>the interruption time shall be less than T</w:t>
            </w:r>
            <w:r>
              <w:rPr>
                <w:rFonts w:cs="v4.2.0"/>
                <w:vertAlign w:val="subscript"/>
              </w:rPr>
              <w:t>interrupt</w:t>
            </w:r>
          </w:p>
          <w:p>
            <w:pPr>
              <w:pStyle w:val="53"/>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pStyle w:val="53"/>
              <w:rPr>
                <w:rFonts w:cs="v4.2.0"/>
                <w:lang w:eastAsia="zh-CN"/>
              </w:rPr>
            </w:pPr>
            <w:r>
              <w:rPr>
                <w:rFonts w:cs="v4.2.0"/>
                <w:lang w:eastAsia="zh-CN"/>
              </w:rPr>
              <w:t>O</w:t>
            </w:r>
            <w:r>
              <w:rPr>
                <w:rFonts w:hint="eastAsia" w:cs="v4.2.0"/>
                <w:lang w:eastAsia="zh-CN"/>
              </w:rPr>
              <w:t>therwise, no interruption time requirement is applied.</w:t>
            </w:r>
          </w:p>
          <w:p>
            <w:pPr>
              <w:pStyle w:val="53"/>
              <w:rPr>
                <w:rFonts w:cs="v4.2.0"/>
              </w:rPr>
            </w:pPr>
            <w:r>
              <w:rPr>
                <w:rFonts w:cs="v4.2.0"/>
              </w:rPr>
              <w:t>Where:</w:t>
            </w:r>
          </w:p>
          <w:p>
            <w:pPr>
              <w:pStyle w:val="53"/>
            </w:pPr>
            <w:r>
              <w:rPr>
                <w:rFonts w:hint="eastAsia"/>
                <w:lang w:eastAsia="zh-CN"/>
              </w:rPr>
              <w:t>-</w:t>
            </w:r>
            <w:r>
              <w:tab/>
            </w:r>
            <w:r>
              <w:t>T</w:t>
            </w:r>
            <w:r>
              <w:rPr>
                <w:vertAlign w:val="subscript"/>
              </w:rPr>
              <w:t>search</w:t>
            </w:r>
            <w:r>
              <w:t xml:space="preserve"> is the time required to search the target </w:t>
            </w:r>
            <w:r>
              <w:rPr>
                <w:rFonts w:hint="eastAsia"/>
                <w:lang w:eastAsia="zh-CN"/>
              </w:rPr>
              <w:t xml:space="preserve">NR SAN </w:t>
            </w:r>
            <w:r>
              <w:t xml:space="preserve">cell assuming the target cell is not already known when </w:t>
            </w:r>
            <w:r>
              <w:rPr>
                <w:rFonts w:cs="v4.2.0"/>
              </w:rPr>
              <w:t>UE starts synchronizing with target satellite</w:t>
            </w:r>
            <w:r>
              <w:t>. If the target cell Es/Iot</w:t>
            </w:r>
            <w:r>
              <w:rPr>
                <w:rFonts w:hint="eastAsia"/>
                <w:lang w:eastAsia="zh-CN"/>
              </w:rPr>
              <w:t xml:space="preserve"> </w:t>
            </w:r>
            <w:r>
              <w:t>≥</w:t>
            </w:r>
            <w:r>
              <w:rPr>
                <w:rFonts w:hint="eastAsia"/>
                <w:lang w:eastAsia="zh-CN"/>
              </w:rPr>
              <w:t xml:space="preserve"> </w:t>
            </w:r>
            <w:r>
              <w:t>-2 dB, then T</w:t>
            </w:r>
            <w:r>
              <w:rPr>
                <w:vertAlign w:val="subscript"/>
              </w:rPr>
              <w:t>search</w:t>
            </w:r>
            <w:r>
              <w:t xml:space="preserve"> = </w:t>
            </w:r>
            <w:r>
              <w:rPr>
                <w:highlight w:val="yellow"/>
              </w:rPr>
              <w:t>[T</w:t>
            </w:r>
            <w:r>
              <w:rPr>
                <w:highlight w:val="yellow"/>
                <w:vertAlign w:val="subscript"/>
              </w:rPr>
              <w:t>first</w:t>
            </w:r>
            <w:r>
              <w:rPr>
                <w:highlight w:val="yellow"/>
                <w:vertAlign w:val="subscript"/>
                <w:lang w:eastAsia="zh-CN"/>
              </w:rPr>
              <w:t>_SSB</w:t>
            </w:r>
            <w:r>
              <w:rPr>
                <w:highlight w:val="yellow"/>
              </w:rPr>
              <w:t>]</w:t>
            </w:r>
            <w:r>
              <w:t xml:space="preserve"> ms. Regardless of whether DRX is in use by the UE, T</w:t>
            </w:r>
            <w:r>
              <w:rPr>
                <w:vertAlign w:val="subscript"/>
              </w:rPr>
              <w:t>search</w:t>
            </w:r>
            <w:r>
              <w:t xml:space="preserve"> shall still be based on non-DRX target cell search times.</w:t>
            </w:r>
          </w:p>
          <w:p>
            <w:pPr>
              <w:pStyle w:val="53"/>
            </w:pPr>
            <w:r>
              <w:rPr>
                <w:rFonts w:hint="eastAsia"/>
                <w:lang w:eastAsia="zh-CN"/>
              </w:rPr>
              <w:t>-</w:t>
            </w:r>
            <w:r>
              <w:tab/>
            </w:r>
            <w:r>
              <w:t>T</w:t>
            </w:r>
            <w:r>
              <w:rPr>
                <w:vertAlign w:val="subscript"/>
              </w:rPr>
              <w:t>∆</w:t>
            </w:r>
            <w:r>
              <w:t xml:space="preserve"> is same as the one defined in section 6.1C.2.2.2.1.</w:t>
            </w:r>
          </w:p>
          <w:p>
            <w:pPr>
              <w:pStyle w:val="53"/>
            </w:pPr>
            <w:r>
              <w:rPr>
                <w:rFonts w:hint="eastAsia"/>
                <w:lang w:eastAsia="zh-CN"/>
              </w:rPr>
              <w:t>-</w:t>
            </w:r>
            <w:r>
              <w:tab/>
            </w:r>
            <w:r>
              <w:t>T</w:t>
            </w:r>
            <w:r>
              <w:rPr>
                <w:vertAlign w:val="subscript"/>
                <w:lang w:eastAsia="zh-CN"/>
              </w:rPr>
              <w:t>processing</w:t>
            </w:r>
            <w:r>
              <w:t xml:space="preserve"> is time for UE processing. T</w:t>
            </w:r>
            <w:r>
              <w:rPr>
                <w:vertAlign w:val="subscript"/>
                <w:lang w:eastAsia="zh-CN"/>
              </w:rPr>
              <w:t>processing</w:t>
            </w:r>
            <w:r>
              <w:t xml:space="preserve"> can be up to </w:t>
            </w:r>
            <w:r>
              <w:rPr>
                <w:highlight w:val="yellow"/>
              </w:rPr>
              <w:t>10</w:t>
            </w:r>
            <w:r>
              <w:t xml:space="preserve"> ms.</w:t>
            </w:r>
          </w:p>
          <w:p>
            <w:pPr>
              <w:pStyle w:val="53"/>
            </w:pPr>
            <w:r>
              <w:rPr>
                <w:rFonts w:hint="eastAsia"/>
                <w:lang w:eastAsia="zh-CN"/>
              </w:rPr>
              <w:t>-</w:t>
            </w:r>
            <w:r>
              <w:rPr>
                <w:lang w:eastAsia="zh-CN"/>
              </w:rPr>
              <w:tab/>
            </w: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pPr>
              <w:pStyle w:val="53"/>
              <w:rPr>
                <w:lang w:eastAsia="zh-CN"/>
              </w:rPr>
            </w:pPr>
            <w:r>
              <w:rPr>
                <w:rFonts w:hint="eastAsia"/>
                <w:lang w:eastAsia="zh-CN"/>
              </w:rPr>
              <w:t>-</w:t>
            </w:r>
            <w:r>
              <w:tab/>
            </w:r>
            <w:r>
              <w:t>T</w:t>
            </w:r>
            <w:r>
              <w:rPr>
                <w:vertAlign w:val="subscript"/>
              </w:rPr>
              <w:t>IU</w:t>
            </w:r>
            <w:r>
              <w:t xml:space="preserve"> is the interruption uncertainty in acquiring the first UL transmission resource, which can be a configured grant based PUSCH, dynamic grant based PUSCH, SR on PUCCH, according to NW configuration and scheduling, or PRACH if TA timer is not running and there is no PUCCH SR</w:t>
            </w:r>
          </w:p>
          <w:p>
            <w:pPr>
              <w:pStyle w:val="53"/>
              <w:overflowPunct w:val="0"/>
              <w:autoSpaceDE w:val="0"/>
              <w:autoSpaceDN w:val="0"/>
              <w:adjustRightInd w:val="0"/>
              <w:spacing w:before="120" w:after="120" w:line="360" w:lineRule="auto"/>
              <w:jc w:val="both"/>
              <w:textAlignment w:val="baseline"/>
              <w:rPr>
                <w:rFonts w:hint="default" w:ascii="Times New Roman" w:hAnsi="Times New Roman" w:eastAsia="宋体" w:cs="Times New Roman"/>
                <w:b w:val="0"/>
                <w:bCs w:val="0"/>
                <w:sz w:val="22"/>
                <w:vertAlign w:val="baseline"/>
                <w:lang w:val="en-US" w:eastAsia="zh-CN"/>
              </w:rPr>
            </w:pPr>
            <w:r>
              <w:rPr>
                <w:rFonts w:hint="eastAsia"/>
                <w:lang w:eastAsia="zh-CN"/>
              </w:rPr>
              <w:t>-</w:t>
            </w:r>
            <w:r>
              <w:tab/>
            </w:r>
            <w:r>
              <w:t>T</w:t>
            </w:r>
            <w:r>
              <w:rPr>
                <w:vertAlign w:val="subscript"/>
              </w:rPr>
              <w:t>first_SSB</w:t>
            </w:r>
            <w:r>
              <w:t xml:space="preserve"> is the time to the end of the first complete SSB burst </w:t>
            </w:r>
            <w:bookmarkStart w:id="2" w:name="_Hlk164355419"/>
            <w:r>
              <w:rPr>
                <w:rFonts w:eastAsia="宋体"/>
                <w:lang w:eastAsia="zh-CN"/>
              </w:rPr>
              <w:t>of target satellite</w:t>
            </w:r>
            <w:bookmarkEnd w:id="2"/>
            <w:r>
              <w:t xml:space="preserve">, the location of which is determined by the periodicity and location of SSB of the source satellite, the ssb-TimeOffset and the difference between propagation delay of the serving satellite and the target satellite counted from the [SSB-TimeOffset reference point as defined in 38.331 [2]] to UE. </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 xml:space="preserve">We know that the Tsearch will be impacted by reduced UE receiving branches. From my perspective, if the target cell is an unknown intra-frequency cell and the target cell Es/Iot≥-2dB, then Tsearch =1*Tfirst_ssb ms if UE is capable of  2Rx antennas; Tsearch=2*Tfirst_ssb ms if UE is only required to support 1Rx antenna.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 xml:space="preserve">Observation 6: The hard satellite switching delay will be impacted by reduced UE receiving branches.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cs="Times New Roman"/>
          <w:b/>
          <w:bCs/>
          <w:sz w:val="20"/>
          <w:szCs w:val="20"/>
          <w:lang w:val="en-US" w:eastAsia="zh-CN"/>
        </w:rPr>
        <w:t xml:space="preserve">Proposal 7: </w:t>
      </w:r>
      <w:r>
        <w:rPr>
          <w:rFonts w:hint="eastAsia" w:eastAsia="宋体"/>
          <w:b/>
          <w:bCs/>
          <w:sz w:val="20"/>
          <w:szCs w:val="20"/>
          <w:lang w:val="en-US" w:eastAsia="zh-CN"/>
        </w:rPr>
        <w:t xml:space="preserve">Considering hard satellite switching delay, </w:t>
      </w:r>
      <w:r>
        <w:rPr>
          <w:rFonts w:hint="eastAsia" w:eastAsia="宋体" w:cs="Times New Roman"/>
          <w:b/>
          <w:bCs/>
          <w:sz w:val="20"/>
          <w:szCs w:val="20"/>
          <w:lang w:val="en-US" w:eastAsia="zh-CN"/>
        </w:rPr>
        <w:t>T</w:t>
      </w:r>
      <w:r>
        <w:rPr>
          <w:rFonts w:hint="eastAsia" w:eastAsia="宋体" w:cs="Times New Roman"/>
          <w:b/>
          <w:bCs/>
          <w:sz w:val="20"/>
          <w:szCs w:val="20"/>
          <w:vertAlign w:val="subscript"/>
          <w:lang w:val="en-US" w:eastAsia="zh-CN"/>
        </w:rPr>
        <w:t>search</w:t>
      </w:r>
      <w:r>
        <w:rPr>
          <w:rFonts w:hint="eastAsia" w:eastAsia="宋体" w:cs="Times New Roman"/>
          <w:b/>
          <w:bCs/>
          <w:sz w:val="20"/>
          <w:szCs w:val="20"/>
          <w:lang w:val="en-US" w:eastAsia="zh-CN"/>
        </w:rPr>
        <w:t xml:space="preserve"> will not be changed which is 1*T</w:t>
      </w:r>
      <w:r>
        <w:rPr>
          <w:rFonts w:hint="eastAsia" w:eastAsia="宋体" w:cs="Times New Roman"/>
          <w:b/>
          <w:bCs/>
          <w:sz w:val="20"/>
          <w:szCs w:val="20"/>
          <w:vertAlign w:val="subscript"/>
          <w:lang w:val="en-US" w:eastAsia="zh-CN"/>
        </w:rPr>
        <w:t>first_ssb</w:t>
      </w:r>
      <w:r>
        <w:rPr>
          <w:rFonts w:hint="eastAsia" w:eastAsia="宋体" w:cs="Times New Roman"/>
          <w:b/>
          <w:bCs/>
          <w:sz w:val="20"/>
          <w:szCs w:val="20"/>
          <w:lang w:val="en-US" w:eastAsia="zh-CN"/>
        </w:rPr>
        <w:t xml:space="preserve"> ms for 2Rx RedCap UEs. For 1Rx RedCap UEs, T</w:t>
      </w:r>
      <w:r>
        <w:rPr>
          <w:rFonts w:hint="eastAsia" w:eastAsia="宋体" w:cs="Times New Roman"/>
          <w:b/>
          <w:bCs/>
          <w:sz w:val="20"/>
          <w:szCs w:val="20"/>
          <w:vertAlign w:val="subscript"/>
          <w:lang w:val="en-US" w:eastAsia="zh-CN"/>
        </w:rPr>
        <w:t>search</w:t>
      </w:r>
      <w:r>
        <w:rPr>
          <w:rFonts w:hint="eastAsia" w:eastAsia="宋体" w:cs="Times New Roman"/>
          <w:b/>
          <w:bCs/>
          <w:sz w:val="20"/>
          <w:szCs w:val="20"/>
          <w:lang w:val="en-US" w:eastAsia="zh-CN"/>
        </w:rPr>
        <w:t xml:space="preserve"> will be 2*T</w:t>
      </w:r>
      <w:r>
        <w:rPr>
          <w:rFonts w:hint="eastAsia" w:eastAsia="宋体" w:cs="Times New Roman"/>
          <w:b/>
          <w:bCs/>
          <w:sz w:val="20"/>
          <w:szCs w:val="20"/>
          <w:vertAlign w:val="subscript"/>
          <w:lang w:val="en-US" w:eastAsia="zh-CN"/>
        </w:rPr>
        <w:t>first_ssb</w:t>
      </w:r>
      <w:r>
        <w:rPr>
          <w:rFonts w:hint="eastAsia" w:eastAsia="宋体" w:cs="Times New Roman"/>
          <w:b/>
          <w:bCs/>
          <w:sz w:val="20"/>
          <w:szCs w:val="20"/>
          <w:lang w:val="en-US" w:eastAsia="zh-CN"/>
        </w:rPr>
        <w:t xml:space="preserve"> ms.</w:t>
      </w:r>
    </w:p>
    <w:p>
      <w:pPr>
        <w:pStyle w:val="9"/>
        <w:numPr>
          <w:ilvl w:val="0"/>
          <w:numId w:val="8"/>
        </w:numPr>
        <w:overflowPunct w:val="0"/>
        <w:autoSpaceDE w:val="0"/>
        <w:autoSpaceDN w:val="0"/>
        <w:adjustRightInd w:val="0"/>
        <w:spacing w:before="120" w:after="120" w:line="360" w:lineRule="auto"/>
        <w:ind w:left="425" w:hanging="425"/>
        <w:jc w:val="both"/>
        <w:textAlignment w:val="baseline"/>
        <w:rPr>
          <w:rFonts w:hint="eastAsia" w:eastAsia="Times New Roman" w:cs="Times New Roman"/>
          <w:b w:val="0"/>
          <w:bCs w:val="0"/>
          <w:sz w:val="20"/>
          <w:lang w:val="en-US" w:eastAsia="zh-CN"/>
        </w:rPr>
      </w:pPr>
      <w:r>
        <w:rPr>
          <w:rFonts w:hint="eastAsia" w:cs="Times New Roman"/>
          <w:b w:val="0"/>
          <w:bCs w:val="0"/>
          <w:sz w:val="20"/>
          <w:lang w:val="en-US" w:eastAsia="zh-CN"/>
        </w:rPr>
        <w:t>Soft</w:t>
      </w:r>
      <w:r>
        <w:rPr>
          <w:rFonts w:hint="eastAsia" w:eastAsia="Times New Roman" w:cs="Times New Roman"/>
          <w:b w:val="0"/>
          <w:bCs w:val="0"/>
          <w:sz w:val="20"/>
          <w:lang w:val="en-US" w:eastAsia="zh-CN"/>
        </w:rPr>
        <w:t xml:space="preserve"> satellite switching delay</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soft satellite switch delay, the main delay can be seen as below:</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4064635" cy="3879850"/>
            <wp:effectExtent l="0" t="0" r="4445" b="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7"/>
                    <a:stretch>
                      <a:fillRect/>
                    </a:stretch>
                  </pic:blipFill>
                  <pic:spPr>
                    <a:xfrm>
                      <a:off x="0" y="0"/>
                      <a:ext cx="4064635" cy="3879850"/>
                    </a:xfrm>
                    <a:prstGeom prst="rect">
                      <a:avLst/>
                    </a:prstGeom>
                    <a:noFill/>
                    <a:ln w="9525">
                      <a:noFill/>
                    </a:ln>
                  </pic:spPr>
                </pic:pic>
              </a:graphicData>
            </a:graphic>
          </wp:inline>
        </w:drawing>
      </w:r>
    </w:p>
    <w:p>
      <w:pPr>
        <w:jc w:val="center"/>
        <w:rPr>
          <w:rFonts w:hint="default" w:eastAsia="宋体" w:cs="v4.2.0"/>
          <w:lang w:val="en-US" w:eastAsia="zh-CN"/>
        </w:rPr>
      </w:pPr>
      <w:r>
        <w:rPr>
          <w:rFonts w:hint="eastAsia" w:eastAsia="宋体" w:cs="v4.2.0"/>
          <w:lang w:val="en-US" w:eastAsia="zh-CN"/>
        </w:rPr>
        <w:t>Figure 2 Soft satellite switch delay</w:t>
      </w:r>
    </w:p>
    <w:p>
      <w:pPr>
        <w:keepNext w:val="0"/>
        <w:pageBreakBefore w:val="0"/>
        <w:widowControl/>
        <w:kinsoku/>
        <w:wordWrap/>
        <w:topLinePunct w:val="0"/>
        <w:bidi w:val="0"/>
        <w:snapToGrid/>
        <w:spacing w:before="0" w:beforeLines="50" w:after="0" w:afterLines="50" w:line="240" w:lineRule="auto"/>
        <w:rPr>
          <w:rFonts w:cs="v4.2.0"/>
          <w:position w:val="-6"/>
          <w:sz w:val="20"/>
          <w:szCs w:val="20"/>
        </w:rPr>
      </w:pPr>
      <w:r>
        <w:rPr>
          <w:rFonts w:hint="eastAsia" w:eastAsia="宋体" w:cs="v4.2.0"/>
          <w:sz w:val="20"/>
          <w:szCs w:val="20"/>
          <w:lang w:val="en-US" w:eastAsia="zh-CN"/>
        </w:rPr>
        <w:t>T</w:t>
      </w:r>
      <w:r>
        <w:rPr>
          <w:rFonts w:cs="v4.2.0"/>
          <w:sz w:val="20"/>
          <w:szCs w:val="20"/>
        </w:rPr>
        <w:t xml:space="preserve">he </w:t>
      </w:r>
      <w:r>
        <w:rPr>
          <w:rFonts w:hint="eastAsia" w:eastAsia="宋体" w:cs="v4.2.0"/>
          <w:sz w:val="20"/>
          <w:szCs w:val="20"/>
          <w:lang w:val="en-US" w:eastAsia="zh-CN"/>
        </w:rPr>
        <w:t xml:space="preserve">soft </w:t>
      </w:r>
      <w:r>
        <w:rPr>
          <w:rFonts w:cs="v4.2.0"/>
          <w:sz w:val="20"/>
          <w:szCs w:val="20"/>
        </w:rPr>
        <w:t>satellite switch time shall be less than T</w:t>
      </w:r>
      <w:r>
        <w:rPr>
          <w:rFonts w:cs="v4.2.0"/>
          <w:sz w:val="20"/>
          <w:szCs w:val="20"/>
          <w:vertAlign w:val="subscript"/>
        </w:rPr>
        <w:t>soft</w:t>
      </w:r>
      <w:r>
        <w:rPr>
          <w:rFonts w:hint="eastAsia" w:cs="v4.2.0"/>
          <w:sz w:val="20"/>
          <w:szCs w:val="20"/>
          <w:vertAlign w:val="subscript"/>
          <w:lang w:eastAsia="zh-CN"/>
        </w:rPr>
        <w:t>_</w:t>
      </w:r>
      <w:r>
        <w:rPr>
          <w:rFonts w:cs="v4.2.0"/>
          <w:sz w:val="20"/>
          <w:szCs w:val="20"/>
          <w:vertAlign w:val="subscript"/>
          <w:lang w:eastAsia="zh-CN"/>
        </w:rPr>
        <w:t>switch</w:t>
      </w:r>
    </w:p>
    <w:p>
      <w:pPr>
        <w:keepNext w:val="0"/>
        <w:keepLines/>
        <w:pageBreakBefore w:val="0"/>
        <w:widowControl/>
        <w:tabs>
          <w:tab w:val="center" w:pos="4536"/>
          <w:tab w:val="right" w:pos="9072"/>
        </w:tabs>
        <w:kinsoku/>
        <w:wordWrap/>
        <w:topLinePunct w:val="0"/>
        <w:bidi w:val="0"/>
        <w:snapToGrid/>
        <w:spacing w:before="0" w:beforeLines="50" w:after="0" w:afterLines="50" w:line="240" w:lineRule="auto"/>
        <w:rPr>
          <w:sz w:val="20"/>
          <w:szCs w:val="20"/>
        </w:rPr>
      </w:pPr>
      <w:r>
        <w:rPr>
          <w:sz w:val="20"/>
          <w:szCs w:val="20"/>
        </w:rPr>
        <w:tab/>
      </w:r>
      <w:r>
        <w:rPr>
          <w:rFonts w:cs="v4.2.0"/>
          <w:sz w:val="20"/>
          <w:szCs w:val="20"/>
        </w:rPr>
        <w:t>T</w:t>
      </w:r>
      <w:r>
        <w:rPr>
          <w:rFonts w:cs="v4.2.0"/>
          <w:sz w:val="20"/>
          <w:szCs w:val="20"/>
          <w:vertAlign w:val="subscript"/>
        </w:rPr>
        <w:t>soft</w:t>
      </w:r>
      <w:r>
        <w:rPr>
          <w:rFonts w:hint="eastAsia" w:cs="v4.2.0"/>
          <w:sz w:val="20"/>
          <w:szCs w:val="20"/>
          <w:vertAlign w:val="subscript"/>
          <w:lang w:eastAsia="zh-CN"/>
        </w:rPr>
        <w:t>_</w:t>
      </w:r>
      <w:r>
        <w:rPr>
          <w:rFonts w:cs="v4.2.0"/>
          <w:sz w:val="20"/>
          <w:szCs w:val="20"/>
          <w:vertAlign w:val="subscript"/>
          <w:lang w:eastAsia="zh-CN"/>
        </w:rPr>
        <w:t>switch</w:t>
      </w:r>
      <w:r>
        <w:rPr>
          <w:sz w:val="20"/>
          <w:szCs w:val="20"/>
        </w:rPr>
        <w:t xml:space="preserve"> = max(</w:t>
      </w:r>
      <w:r>
        <w:rPr>
          <w:i/>
          <w:sz w:val="20"/>
          <w:szCs w:val="20"/>
        </w:rPr>
        <w:t>t-service</w:t>
      </w:r>
      <w:r>
        <w:rPr>
          <w:sz w:val="20"/>
          <w:szCs w:val="20"/>
        </w:rPr>
        <w:t>-</w:t>
      </w:r>
      <w:r>
        <w:rPr>
          <w:i/>
          <w:sz w:val="20"/>
          <w:szCs w:val="20"/>
        </w:rPr>
        <w:t>t-seviceStart</w:t>
      </w:r>
      <w:r>
        <w:rPr>
          <w:sz w:val="20"/>
          <w:szCs w:val="20"/>
        </w:rPr>
        <w:t>, T</w:t>
      </w:r>
      <w:r>
        <w:rPr>
          <w:sz w:val="20"/>
          <w:szCs w:val="20"/>
          <w:vertAlign w:val="subscript"/>
        </w:rPr>
        <w:t>search</w:t>
      </w:r>
      <w:r>
        <w:rPr>
          <w:sz w:val="20"/>
          <w:szCs w:val="20"/>
        </w:rPr>
        <w:t xml:space="preserve"> </w:t>
      </w:r>
      <w:r>
        <w:rPr>
          <w:sz w:val="20"/>
          <w:szCs w:val="20"/>
          <w:lang w:eastAsia="zh-CN"/>
        </w:rPr>
        <w:t>+ T</w:t>
      </w:r>
      <w:r>
        <w:rPr>
          <w:sz w:val="20"/>
          <w:szCs w:val="20"/>
          <w:vertAlign w:val="subscript"/>
          <w:lang w:eastAsia="zh-CN"/>
        </w:rPr>
        <w:t>∆</w:t>
      </w:r>
      <w:r>
        <w:rPr>
          <w:sz w:val="20"/>
          <w:szCs w:val="20"/>
          <w:lang w:eastAsia="zh-CN"/>
        </w:rPr>
        <w:t xml:space="preserve"> + T</w:t>
      </w:r>
      <w:r>
        <w:rPr>
          <w:sz w:val="20"/>
          <w:szCs w:val="20"/>
          <w:vertAlign w:val="subscript"/>
          <w:lang w:eastAsia="zh-CN"/>
        </w:rPr>
        <w:t>margin</w:t>
      </w:r>
      <w:r>
        <w:rPr>
          <w:sz w:val="20"/>
          <w:szCs w:val="20"/>
          <w:lang w:eastAsia="zh-CN"/>
        </w:rPr>
        <w:t>)</w:t>
      </w:r>
      <w:r>
        <w:rPr>
          <w:sz w:val="20"/>
          <w:szCs w:val="20"/>
        </w:rPr>
        <w:t xml:space="preserve"> + T</w:t>
      </w:r>
      <w:r>
        <w:rPr>
          <w:sz w:val="20"/>
          <w:szCs w:val="20"/>
          <w:vertAlign w:val="subscript"/>
        </w:rPr>
        <w:t>IU</w:t>
      </w:r>
      <w:r>
        <w:rPr>
          <w:sz w:val="20"/>
          <w:szCs w:val="20"/>
        </w:rPr>
        <w:t xml:space="preserve"> + T</w:t>
      </w:r>
      <w:r>
        <w:rPr>
          <w:sz w:val="20"/>
          <w:szCs w:val="20"/>
          <w:vertAlign w:val="subscript"/>
          <w:lang w:eastAsia="zh-CN"/>
        </w:rPr>
        <w:t>processing</w:t>
      </w:r>
      <w:r>
        <w:rPr>
          <w:sz w:val="20"/>
          <w:szCs w:val="20"/>
          <w:lang w:eastAsia="zh-CN"/>
        </w:rPr>
        <w:t xml:space="preserve"> </w:t>
      </w:r>
      <w:r>
        <w:rPr>
          <w:sz w:val="20"/>
          <w:szCs w:val="20"/>
          <w:vertAlign w:val="subscript"/>
          <w:lang w:eastAsia="zh-CN"/>
        </w:rPr>
        <w:t xml:space="preserve"> </w:t>
      </w:r>
      <w:r>
        <w:rPr>
          <w:sz w:val="20"/>
          <w:szCs w:val="20"/>
        </w:rPr>
        <w:t>ms</w:t>
      </w:r>
    </w:p>
    <w:p>
      <w:pPr>
        <w:keepNext w:val="0"/>
        <w:pageBreakBefore w:val="0"/>
        <w:widowControl/>
        <w:kinsoku/>
        <w:wordWrap/>
        <w:overflowPunct w:val="0"/>
        <w:topLinePunct w:val="0"/>
        <w:autoSpaceDE w:val="0"/>
        <w:autoSpaceDN w:val="0"/>
        <w:bidi w:val="0"/>
        <w:adjustRightInd w:val="0"/>
        <w:snapToGrid/>
        <w:spacing w:before="0" w:beforeLines="50" w:after="0" w:afterLines="50" w:line="240" w:lineRule="auto"/>
        <w:jc w:val="both"/>
        <w:textAlignment w:val="baseline"/>
        <w:rPr>
          <w:rFonts w:hint="eastAsia" w:eastAsia="宋体"/>
          <w:sz w:val="20"/>
          <w:szCs w:val="20"/>
          <w:lang w:val="en-US" w:eastAsia="zh-CN"/>
        </w:rPr>
      </w:pPr>
      <w:r>
        <w:rPr>
          <w:rFonts w:hint="eastAsia" w:eastAsia="宋体"/>
          <w:sz w:val="20"/>
          <w:szCs w:val="20"/>
          <w:lang w:val="en-US" w:eastAsia="zh-CN"/>
        </w:rPr>
        <w:t xml:space="preserve">We know that the soft satellite switch delay includes two parts: Sync to target satellite and the interruption. For the first part, it includes full or partial </w:t>
      </w:r>
      <w:r>
        <w:rPr>
          <w:sz w:val="20"/>
          <w:szCs w:val="20"/>
        </w:rPr>
        <w:t>T</w:t>
      </w:r>
      <w:r>
        <w:rPr>
          <w:sz w:val="20"/>
          <w:szCs w:val="20"/>
          <w:vertAlign w:val="subscript"/>
        </w:rPr>
        <w:t>search</w:t>
      </w:r>
      <w:r>
        <w:rPr>
          <w:sz w:val="20"/>
          <w:szCs w:val="20"/>
        </w:rPr>
        <w:t xml:space="preserve"> </w:t>
      </w:r>
      <w:r>
        <w:rPr>
          <w:sz w:val="20"/>
          <w:szCs w:val="20"/>
          <w:lang w:eastAsia="zh-CN"/>
        </w:rPr>
        <w:t>+ T</w:t>
      </w:r>
      <w:r>
        <w:rPr>
          <w:sz w:val="20"/>
          <w:szCs w:val="20"/>
          <w:vertAlign w:val="subscript"/>
          <w:lang w:eastAsia="zh-CN"/>
        </w:rPr>
        <w:t>∆</w:t>
      </w:r>
      <w:r>
        <w:rPr>
          <w:sz w:val="20"/>
          <w:szCs w:val="20"/>
          <w:lang w:eastAsia="zh-CN"/>
        </w:rPr>
        <w:t xml:space="preserve"> + T</w:t>
      </w:r>
      <w:r>
        <w:rPr>
          <w:sz w:val="20"/>
          <w:szCs w:val="20"/>
          <w:vertAlign w:val="subscript"/>
          <w:lang w:eastAsia="zh-CN"/>
        </w:rPr>
        <w:t>margin</w:t>
      </w:r>
      <w:r>
        <w:rPr>
          <w:rFonts w:hint="eastAsia"/>
          <w:sz w:val="20"/>
          <w:szCs w:val="20"/>
          <w:vertAlign w:val="subscript"/>
          <w:lang w:val="en-US" w:eastAsia="zh-CN"/>
        </w:rPr>
        <w:t xml:space="preserve"> </w:t>
      </w:r>
      <w:r>
        <w:rPr>
          <w:rFonts w:hint="eastAsia" w:eastAsia="宋体"/>
          <w:sz w:val="20"/>
          <w:szCs w:val="20"/>
          <w:lang w:val="en-US" w:eastAsia="zh-CN"/>
        </w:rPr>
        <w:t xml:space="preserve">or t-service-t-serviceStart. For </w:t>
      </w:r>
      <w:r>
        <w:rPr>
          <w:sz w:val="20"/>
          <w:szCs w:val="20"/>
        </w:rPr>
        <w:t>T</w:t>
      </w:r>
      <w:r>
        <w:rPr>
          <w:sz w:val="20"/>
          <w:szCs w:val="20"/>
          <w:vertAlign w:val="subscript"/>
        </w:rPr>
        <w:t>search</w:t>
      </w:r>
      <w:r>
        <w:rPr>
          <w:sz w:val="20"/>
          <w:szCs w:val="20"/>
        </w:rPr>
        <w:t xml:space="preserve"> </w:t>
      </w:r>
      <w:r>
        <w:rPr>
          <w:sz w:val="20"/>
          <w:szCs w:val="20"/>
          <w:lang w:eastAsia="zh-CN"/>
        </w:rPr>
        <w:t>+ T</w:t>
      </w:r>
      <w:r>
        <w:rPr>
          <w:sz w:val="20"/>
          <w:szCs w:val="20"/>
          <w:vertAlign w:val="subscript"/>
          <w:lang w:eastAsia="zh-CN"/>
        </w:rPr>
        <w:t>∆</w:t>
      </w:r>
      <w:r>
        <w:rPr>
          <w:sz w:val="20"/>
          <w:szCs w:val="20"/>
          <w:lang w:eastAsia="zh-CN"/>
        </w:rPr>
        <w:t xml:space="preserve"> + T</w:t>
      </w:r>
      <w:r>
        <w:rPr>
          <w:sz w:val="20"/>
          <w:szCs w:val="20"/>
          <w:vertAlign w:val="subscript"/>
          <w:lang w:eastAsia="zh-CN"/>
        </w:rPr>
        <w:t>margin</w:t>
      </w:r>
      <w:r>
        <w:rPr>
          <w:rFonts w:hint="eastAsia" w:eastAsia="宋体"/>
          <w:sz w:val="20"/>
          <w:szCs w:val="20"/>
          <w:lang w:val="en-US" w:eastAsia="zh-CN"/>
        </w:rPr>
        <w:t xml:space="preserve">, if the delay of </w:t>
      </w:r>
      <w:r>
        <w:rPr>
          <w:sz w:val="20"/>
          <w:szCs w:val="20"/>
        </w:rPr>
        <w:t>T</w:t>
      </w:r>
      <w:r>
        <w:rPr>
          <w:sz w:val="20"/>
          <w:szCs w:val="20"/>
          <w:vertAlign w:val="subscript"/>
        </w:rPr>
        <w:t>search</w:t>
      </w:r>
      <w:r>
        <w:rPr>
          <w:sz w:val="20"/>
          <w:szCs w:val="20"/>
        </w:rPr>
        <w:t xml:space="preserve"> </w:t>
      </w:r>
      <w:r>
        <w:rPr>
          <w:sz w:val="20"/>
          <w:szCs w:val="20"/>
          <w:lang w:eastAsia="zh-CN"/>
        </w:rPr>
        <w:t>+ T</w:t>
      </w:r>
      <w:r>
        <w:rPr>
          <w:sz w:val="20"/>
          <w:szCs w:val="20"/>
          <w:vertAlign w:val="subscript"/>
          <w:lang w:eastAsia="zh-CN"/>
        </w:rPr>
        <w:t>∆</w:t>
      </w:r>
      <w:r>
        <w:rPr>
          <w:sz w:val="20"/>
          <w:szCs w:val="20"/>
          <w:lang w:eastAsia="zh-CN"/>
        </w:rPr>
        <w:t xml:space="preserve"> + T</w:t>
      </w:r>
      <w:r>
        <w:rPr>
          <w:sz w:val="20"/>
          <w:szCs w:val="20"/>
          <w:vertAlign w:val="subscript"/>
          <w:lang w:eastAsia="zh-CN"/>
        </w:rPr>
        <w:t>margin</w:t>
      </w:r>
      <w:r>
        <w:rPr>
          <w:rFonts w:hint="eastAsia"/>
          <w:sz w:val="20"/>
          <w:szCs w:val="20"/>
          <w:vertAlign w:val="subscript"/>
          <w:lang w:val="en-US" w:eastAsia="zh-CN"/>
        </w:rPr>
        <w:t xml:space="preserve"> </w:t>
      </w:r>
      <w:r>
        <w:rPr>
          <w:rFonts w:hint="eastAsia" w:eastAsia="宋体"/>
          <w:sz w:val="20"/>
          <w:szCs w:val="20"/>
          <w:lang w:val="en-US" w:eastAsia="zh-CN"/>
        </w:rPr>
        <w:t xml:space="preserve"> is larger than t-service-t-serviceStart, the interruption will also contain partial </w:t>
      </w:r>
      <w:r>
        <w:rPr>
          <w:sz w:val="20"/>
          <w:szCs w:val="20"/>
        </w:rPr>
        <w:t>T</w:t>
      </w:r>
      <w:r>
        <w:rPr>
          <w:sz w:val="20"/>
          <w:szCs w:val="20"/>
          <w:vertAlign w:val="subscript"/>
        </w:rPr>
        <w:t>search</w:t>
      </w:r>
      <w:r>
        <w:rPr>
          <w:sz w:val="20"/>
          <w:szCs w:val="20"/>
        </w:rPr>
        <w:t xml:space="preserve"> </w:t>
      </w:r>
      <w:r>
        <w:rPr>
          <w:sz w:val="20"/>
          <w:szCs w:val="20"/>
          <w:lang w:eastAsia="zh-CN"/>
        </w:rPr>
        <w:t>+ T</w:t>
      </w:r>
      <w:r>
        <w:rPr>
          <w:sz w:val="20"/>
          <w:szCs w:val="20"/>
          <w:vertAlign w:val="subscript"/>
          <w:lang w:eastAsia="zh-CN"/>
        </w:rPr>
        <w:t>∆</w:t>
      </w:r>
      <w:r>
        <w:rPr>
          <w:sz w:val="20"/>
          <w:szCs w:val="20"/>
          <w:lang w:eastAsia="zh-CN"/>
        </w:rPr>
        <w:t xml:space="preserve"> + T</w:t>
      </w:r>
      <w:r>
        <w:rPr>
          <w:sz w:val="20"/>
          <w:szCs w:val="20"/>
          <w:vertAlign w:val="subscript"/>
          <w:lang w:eastAsia="zh-CN"/>
        </w:rPr>
        <w:t>margin</w:t>
      </w:r>
      <w:r>
        <w:rPr>
          <w:rFonts w:hint="eastAsia"/>
          <w:sz w:val="20"/>
          <w:szCs w:val="20"/>
          <w:vertAlign w:val="subscript"/>
          <w:lang w:val="en-US" w:eastAsia="zh-CN"/>
        </w:rPr>
        <w:t xml:space="preserve"> </w:t>
      </w:r>
      <w:r>
        <w:rPr>
          <w:rFonts w:hint="eastAsia" w:eastAsia="宋体"/>
          <w:sz w:val="20"/>
          <w:szCs w:val="20"/>
          <w:lang w:val="en-US" w:eastAsia="zh-CN"/>
        </w:rPr>
        <w:t xml:space="preserve"> and the soft satellite switch delay will be much longer than the case which the delay of </w:t>
      </w:r>
      <w:r>
        <w:rPr>
          <w:sz w:val="20"/>
          <w:szCs w:val="20"/>
        </w:rPr>
        <w:t>T</w:t>
      </w:r>
      <w:r>
        <w:rPr>
          <w:sz w:val="20"/>
          <w:szCs w:val="20"/>
          <w:vertAlign w:val="subscript"/>
        </w:rPr>
        <w:t>search</w:t>
      </w:r>
      <w:r>
        <w:rPr>
          <w:sz w:val="20"/>
          <w:szCs w:val="20"/>
        </w:rPr>
        <w:t xml:space="preserve"> </w:t>
      </w:r>
      <w:r>
        <w:rPr>
          <w:sz w:val="20"/>
          <w:szCs w:val="20"/>
          <w:lang w:eastAsia="zh-CN"/>
        </w:rPr>
        <w:t>+ T</w:t>
      </w:r>
      <w:r>
        <w:rPr>
          <w:sz w:val="20"/>
          <w:szCs w:val="20"/>
          <w:vertAlign w:val="subscript"/>
          <w:lang w:eastAsia="zh-CN"/>
        </w:rPr>
        <w:t>∆</w:t>
      </w:r>
      <w:r>
        <w:rPr>
          <w:sz w:val="20"/>
          <w:szCs w:val="20"/>
          <w:lang w:eastAsia="zh-CN"/>
        </w:rPr>
        <w:t xml:space="preserve"> + T</w:t>
      </w:r>
      <w:r>
        <w:rPr>
          <w:sz w:val="20"/>
          <w:szCs w:val="20"/>
          <w:vertAlign w:val="subscript"/>
          <w:lang w:eastAsia="zh-CN"/>
        </w:rPr>
        <w:t>margin</w:t>
      </w:r>
      <w:r>
        <w:rPr>
          <w:rFonts w:hint="eastAsia"/>
          <w:sz w:val="20"/>
          <w:szCs w:val="20"/>
          <w:vertAlign w:val="subscript"/>
          <w:lang w:val="en-US" w:eastAsia="zh-CN"/>
        </w:rPr>
        <w:t xml:space="preserve"> </w:t>
      </w:r>
      <w:r>
        <w:rPr>
          <w:rFonts w:hint="eastAsia" w:eastAsia="宋体"/>
          <w:sz w:val="20"/>
          <w:szCs w:val="20"/>
          <w:lang w:val="en-US" w:eastAsia="zh-CN"/>
        </w:rPr>
        <w:t xml:space="preserve"> is smaller than t-service-t-serviceStart. Tsearch is also involved in soft satellite switch delay. To my understanding, the same method in hard satellite switch shall be used.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b/>
          <w:bCs/>
          <w:sz w:val="20"/>
          <w:szCs w:val="20"/>
          <w:lang w:val="en-US" w:eastAsia="zh-CN"/>
        </w:rPr>
        <w:t xml:space="preserve">Proposal 8: Considering soft satellite switching delay, </w:t>
      </w:r>
      <w:r>
        <w:rPr>
          <w:rFonts w:hint="eastAsia" w:eastAsia="宋体" w:cs="Times New Roman"/>
          <w:b/>
          <w:bCs/>
          <w:sz w:val="20"/>
          <w:szCs w:val="20"/>
          <w:lang w:val="en-US" w:eastAsia="zh-CN"/>
        </w:rPr>
        <w:t>T</w:t>
      </w:r>
      <w:r>
        <w:rPr>
          <w:rFonts w:hint="eastAsia" w:eastAsia="宋体" w:cs="Times New Roman"/>
          <w:b/>
          <w:bCs/>
          <w:sz w:val="20"/>
          <w:szCs w:val="20"/>
          <w:vertAlign w:val="subscript"/>
          <w:lang w:val="en-US" w:eastAsia="zh-CN"/>
        </w:rPr>
        <w:t>search</w:t>
      </w:r>
      <w:r>
        <w:rPr>
          <w:rFonts w:hint="eastAsia" w:eastAsia="宋体" w:cs="Times New Roman"/>
          <w:b/>
          <w:bCs/>
          <w:sz w:val="20"/>
          <w:szCs w:val="20"/>
          <w:lang w:val="en-US" w:eastAsia="zh-CN"/>
        </w:rPr>
        <w:t xml:space="preserve"> will not be changed which is 1*T</w:t>
      </w:r>
      <w:r>
        <w:rPr>
          <w:rFonts w:hint="eastAsia" w:eastAsia="宋体" w:cs="Times New Roman"/>
          <w:b/>
          <w:bCs/>
          <w:sz w:val="20"/>
          <w:szCs w:val="20"/>
          <w:vertAlign w:val="subscript"/>
          <w:lang w:val="en-US" w:eastAsia="zh-CN"/>
        </w:rPr>
        <w:t>first_ssb</w:t>
      </w:r>
      <w:r>
        <w:rPr>
          <w:rFonts w:hint="eastAsia" w:eastAsia="宋体" w:cs="Times New Roman"/>
          <w:b/>
          <w:bCs/>
          <w:sz w:val="20"/>
          <w:szCs w:val="20"/>
          <w:lang w:val="en-US" w:eastAsia="zh-CN"/>
        </w:rPr>
        <w:t xml:space="preserve"> ms for 2Rx RedCap UEs. For 1Rx RedCap UEs, T</w:t>
      </w:r>
      <w:r>
        <w:rPr>
          <w:rFonts w:hint="eastAsia" w:eastAsia="宋体" w:cs="Times New Roman"/>
          <w:b/>
          <w:bCs/>
          <w:sz w:val="20"/>
          <w:szCs w:val="20"/>
          <w:vertAlign w:val="subscript"/>
          <w:lang w:val="en-US" w:eastAsia="zh-CN"/>
        </w:rPr>
        <w:t>search</w:t>
      </w:r>
      <w:r>
        <w:rPr>
          <w:rFonts w:hint="eastAsia" w:eastAsia="宋体" w:cs="Times New Roman"/>
          <w:b/>
          <w:bCs/>
          <w:sz w:val="20"/>
          <w:szCs w:val="20"/>
          <w:lang w:val="en-US" w:eastAsia="zh-CN"/>
        </w:rPr>
        <w:t xml:space="preserve"> will be 2*T</w:t>
      </w:r>
      <w:r>
        <w:rPr>
          <w:rFonts w:hint="eastAsia" w:eastAsia="宋体" w:cs="Times New Roman"/>
          <w:b/>
          <w:bCs/>
          <w:sz w:val="20"/>
          <w:szCs w:val="20"/>
          <w:vertAlign w:val="subscript"/>
          <w:lang w:val="en-US" w:eastAsia="zh-CN"/>
        </w:rPr>
        <w:t>first_ssb</w:t>
      </w:r>
      <w:r>
        <w:rPr>
          <w:rFonts w:hint="eastAsia" w:eastAsia="宋体" w:cs="Times New Roman"/>
          <w:b/>
          <w:bCs/>
          <w:sz w:val="20"/>
          <w:szCs w:val="20"/>
          <w:lang w:val="en-US" w:eastAsia="zh-CN"/>
        </w:rPr>
        <w:t xml:space="preserve"> ms.</w:t>
      </w:r>
    </w:p>
    <w:p>
      <w:pPr>
        <w:pStyle w:val="7"/>
        <w:overflowPunct w:val="0"/>
        <w:autoSpaceDE w:val="0"/>
        <w:autoSpaceDN w:val="0"/>
        <w:adjustRightInd w:val="0"/>
        <w:spacing w:before="120" w:after="120" w:line="360" w:lineRule="auto"/>
        <w:jc w:val="both"/>
        <w:textAlignment w:val="baseline"/>
        <w:rPr>
          <w:rFonts w:hint="eastAsia"/>
          <w:lang w:val="en-US" w:eastAsia="zh-CN"/>
        </w:rPr>
      </w:pPr>
      <w:r>
        <w:rPr>
          <w:rFonts w:hint="eastAsia"/>
          <w:lang w:val="en-US" w:eastAsia="zh-CN"/>
        </w:rPr>
        <w:t>2.1.1.1.2.2 Pathloss reference signal switching delay</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For pathloss reference signal switch, this is the RS designated by the network for the UE to update its channel pathloss. For example, when a UE moves from the edge of current cell to a new cell, the power of signal and quality will change.To ensure the UE can adapt the new channel condition, the network will send the MAC-CE activation message to notify UE that the RS shall be switched. The UE is required to complete the switch within a specific window after receiving this message and commence the pathloss estimation using the new reference signal. However, the specific window is actually the pathloss reference signal switching delay. </w:t>
      </w:r>
      <w:r>
        <w:rPr>
          <w:rFonts w:hint="default" w:ascii="Times New Roman" w:hAnsi="Times New Roman" w:eastAsia="宋体" w:cs="Times New Roman"/>
          <w:sz w:val="20"/>
          <w:szCs w:val="20"/>
          <w:lang w:val="en-GB"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Pr>
          <w:rFonts w:hint="default" w:ascii="Times New Roman" w:hAnsi="Times New Roman" w:cs="Times New Roman"/>
          <w:i/>
          <w:sz w:val="20"/>
          <w:szCs w:val="20"/>
        </w:rPr>
        <w:t>n</w:t>
      </w:r>
      <w:r>
        <w:rPr>
          <w:rFonts w:hint="default" w:ascii="Times New Roman" w:hAnsi="Times New Roman" w:cs="Times New Roman"/>
          <w:sz w:val="20"/>
          <w:szCs w:val="20"/>
        </w:rPr>
        <w:t xml:space="preserve"> +  </w:t>
      </w:r>
      <m:oMath>
        <m:sSub>
          <m:sSubPr>
            <m:ctrlPr>
              <w:rPr>
                <w:rFonts w:hint="default" w:ascii="Cambria Math" w:hAnsi="Cambria Math" w:cs="Times New Roman"/>
                <w:sz w:val="20"/>
                <w:szCs w:val="20"/>
              </w:rPr>
            </m:ctrlPr>
          </m:sSubPr>
          <m:e>
            <m:r>
              <m:rPr/>
              <w:rPr>
                <w:rFonts w:hint="default" w:ascii="Cambria Math" w:hAnsi="Cambria Math" w:cs="Times New Roman"/>
                <w:sz w:val="20"/>
                <w:szCs w:val="20"/>
              </w:rPr>
              <m:t>T</m:t>
            </m:r>
            <m:ctrlPr>
              <w:rPr>
                <w:rFonts w:hint="default" w:ascii="Cambria Math" w:hAnsi="Cambria Math" w:cs="Times New Roman"/>
                <w:sz w:val="20"/>
                <w:szCs w:val="20"/>
              </w:rPr>
            </m:ctrlPr>
          </m:e>
          <m:sub>
            <m:r>
              <m:rPr/>
              <w:rPr>
                <w:rFonts w:hint="default" w:ascii="Cambria Math" w:hAnsi="Cambria Math" w:cs="Times New Roman"/>
                <w:sz w:val="20"/>
                <w:szCs w:val="20"/>
              </w:rPr>
              <m:t>HARQ</m:t>
            </m:r>
            <m:ctrlPr>
              <w:rPr>
                <w:rFonts w:hint="default" w:ascii="Cambria Math" w:hAnsi="Cambria Math" w:cs="Times New Roman"/>
                <w:sz w:val="20"/>
                <w:szCs w:val="20"/>
              </w:rPr>
            </m:ctrlPr>
          </m:sub>
        </m:sSub>
      </m:oMath>
      <w:r>
        <w:rPr>
          <w:rFonts w:hint="default" w:ascii="Times New Roman" w:hAnsi="Times New Roman" w:cs="Times New Roman"/>
          <w:sz w:val="20"/>
          <w:szCs w:val="20"/>
        </w:rPr>
        <w:t>+</w:t>
      </w:r>
      <m:oMath>
        <m:r>
          <m:rPr>
            <m:sty m:val="p"/>
          </m:rPr>
          <w:rPr>
            <w:rFonts w:hint="default" w:ascii="Cambria Math" w:hAnsi="Cambria Math" w:eastAsia="宋体" w:cs="Times New Roman"/>
            <w:sz w:val="20"/>
            <w:szCs w:val="20"/>
            <w:lang w:val="en-GB" w:eastAsia="zh-CN"/>
          </w:rPr>
          <m:t>3</m:t>
        </m:r>
        <m:sSubSup>
          <m:sSubSupPr>
            <m:ctrlPr>
              <w:rPr>
                <w:rFonts w:hint="default" w:ascii="Cambria Math" w:hAnsi="Cambria Math" w:cs="Times New Roman"/>
                <w:sz w:val="20"/>
                <w:szCs w:val="20"/>
              </w:rPr>
            </m:ctrlPr>
          </m:sSubSupPr>
          <m:e>
            <m:r>
              <m:rPr>
                <m:sty m:val="p"/>
              </m:rPr>
              <w:rPr>
                <w:rFonts w:hint="default" w:ascii="Cambria Math" w:hAnsi="Cambria Math" w:cs="Times New Roman"/>
                <w:sz w:val="20"/>
                <w:szCs w:val="20"/>
              </w:rPr>
              <m:t>N</m:t>
            </m:r>
            <m:ctrlPr>
              <w:rPr>
                <w:rFonts w:hint="default" w:ascii="Cambria Math" w:hAnsi="Cambria Math" w:cs="Times New Roman"/>
                <w:sz w:val="20"/>
                <w:szCs w:val="20"/>
              </w:rPr>
            </m:ctrlPr>
          </m:e>
          <m:sub>
            <m:r>
              <m:rPr>
                <m:sty m:val="p"/>
              </m:rPr>
              <w:rPr>
                <w:rFonts w:hint="default" w:ascii="Cambria Math" w:hAnsi="Cambria Math" w:cs="Times New Roman"/>
                <w:sz w:val="20"/>
                <w:szCs w:val="20"/>
              </w:rPr>
              <m:t>slot</m:t>
            </m:r>
            <m:ctrlPr>
              <w:rPr>
                <w:rFonts w:hint="default" w:ascii="Cambria Math" w:hAnsi="Cambria Math" w:cs="Times New Roman"/>
                <w:sz w:val="20"/>
                <w:szCs w:val="20"/>
              </w:rPr>
            </m:ctrlPr>
          </m:sub>
          <m:sup>
            <m:r>
              <m:rPr>
                <m:sty m:val="p"/>
              </m:rPr>
              <w:rPr>
                <w:rFonts w:hint="default" w:ascii="Cambria Math" w:hAnsi="Cambria Math" w:cs="Times New Roman"/>
                <w:sz w:val="20"/>
                <w:szCs w:val="20"/>
              </w:rPr>
              <m:t>subframe,µ</m:t>
            </m:r>
            <m:ctrlPr>
              <w:rPr>
                <w:rFonts w:hint="default" w:ascii="Cambria Math" w:hAnsi="Cambria Math" w:cs="Times New Roman"/>
                <w:sz w:val="20"/>
                <w:szCs w:val="20"/>
              </w:rPr>
            </m:ctrlPr>
          </m:sup>
        </m:sSubSup>
        <m:r>
          <m:rPr>
            <m:sty m:val="p"/>
          </m:rPr>
          <w:rPr>
            <w:rFonts w:hint="default" w:ascii="Cambria Math" w:hAnsi="Cambria Math" w:cs="Times New Roman"/>
            <w:sz w:val="20"/>
            <w:szCs w:val="20"/>
          </w:rPr>
          <m:t xml:space="preserve"> +  NM∗</m:t>
        </m:r>
      </m:oMath>
      <w:r>
        <w:rPr>
          <w:rFonts w:hint="default" w:ascii="Times New Roman" w:hAnsi="Times New Roman" w:cs="Times New Roman"/>
          <w:sz w:val="20"/>
          <w:szCs w:val="20"/>
        </w:rPr>
        <w:t xml:space="preserve"> </w:t>
      </w:r>
      <m:oMath>
        <m:d>
          <m:dPr>
            <m:begChr m:val="⌈"/>
            <m:endChr m:val="⌉"/>
            <m:ctrlPr>
              <w:rPr>
                <w:rFonts w:hint="default" w:ascii="Cambria Math" w:hAnsi="Cambria Math" w:cs="Times New Roman"/>
                <w:sz w:val="20"/>
                <w:szCs w:val="20"/>
              </w:rPr>
            </m:ctrlPr>
          </m:dPr>
          <m:e>
            <m:f>
              <m:fPr>
                <m:ctrlPr>
                  <w:rPr>
                    <w:rFonts w:hint="default" w:ascii="Cambria Math" w:hAnsi="Cambria Math" w:cs="Times New Roman"/>
                    <w:sz w:val="20"/>
                    <w:szCs w:val="20"/>
                  </w:rPr>
                </m:ctrlPr>
              </m:fPr>
              <m:num>
                <m:r>
                  <m:rPr>
                    <m:sty m:val="p"/>
                  </m:rPr>
                  <w:rPr>
                    <w:rFonts w:hint="default" w:ascii="Cambria Math" w:hAnsi="Cambria Math" w:cs="Times New Roman"/>
                    <w:sz w:val="20"/>
                    <w:szCs w:val="20"/>
                  </w:rPr>
                  <m:t xml:space="preserve"> 5∗</m:t>
                </m:r>
                <m:sSub>
                  <m:sSubPr>
                    <m:ctrlPr>
                      <w:rPr>
                        <w:rFonts w:hint="default" w:ascii="Cambria Math" w:hAnsi="Cambria Math" w:cs="Times New Roman"/>
                        <w:sz w:val="20"/>
                        <w:szCs w:val="20"/>
                      </w:rPr>
                    </m:ctrlPr>
                  </m:sSubPr>
                  <m:e>
                    <m:r>
                      <m:rPr/>
                      <w:rPr>
                        <w:rFonts w:hint="default" w:ascii="Cambria Math" w:hAnsi="Cambria Math" w:cs="Times New Roman"/>
                        <w:sz w:val="20"/>
                        <w:szCs w:val="20"/>
                      </w:rPr>
                      <m:t>T</m:t>
                    </m:r>
                    <m:ctrlPr>
                      <w:rPr>
                        <w:rFonts w:hint="default" w:ascii="Cambria Math" w:hAnsi="Cambria Math" w:cs="Times New Roman"/>
                        <w:sz w:val="20"/>
                        <w:szCs w:val="20"/>
                      </w:rPr>
                    </m:ctrlPr>
                  </m:e>
                  <m:sub>
                    <m:r>
                      <m:rPr/>
                      <w:rPr>
                        <w:rFonts w:hint="default" w:ascii="Cambria Math" w:hAnsi="Cambria Math" w:cs="Times New Roman"/>
                        <w:sz w:val="20"/>
                        <w:szCs w:val="20"/>
                      </w:rPr>
                      <m:t>target</m:t>
                    </m:r>
                    <m:r>
                      <m:rPr>
                        <m:sty m:val="p"/>
                      </m:rPr>
                      <w:rPr>
                        <w:rFonts w:hint="default" w:ascii="Cambria Math" w:hAnsi="Cambria Math" w:cs="Times New Roman"/>
                        <w:sz w:val="20"/>
                        <w:szCs w:val="20"/>
                      </w:rPr>
                      <m:t>_</m:t>
                    </m:r>
                    <m:r>
                      <m:rPr/>
                      <w:rPr>
                        <w:rFonts w:hint="default" w:ascii="Cambria Math" w:hAnsi="Cambria Math" w:cs="Times New Roman"/>
                        <w:sz w:val="20"/>
                        <w:szCs w:val="20"/>
                      </w:rPr>
                      <m:t>PL</m:t>
                    </m:r>
                    <m:r>
                      <m:rPr>
                        <m:sty m:val="p"/>
                      </m:rPr>
                      <w:rPr>
                        <w:rFonts w:hint="default" w:ascii="Cambria Math" w:hAnsi="Cambria Math" w:cs="Times New Roman"/>
                        <w:sz w:val="20"/>
                        <w:szCs w:val="20"/>
                      </w:rPr>
                      <m:t>−</m:t>
                    </m:r>
                    <m:r>
                      <m:rPr/>
                      <w:rPr>
                        <w:rFonts w:hint="default" w:ascii="Cambria Math" w:hAnsi="Cambria Math" w:cs="Times New Roman"/>
                        <w:sz w:val="20"/>
                        <w:szCs w:val="20"/>
                      </w:rPr>
                      <m:t>RS</m:t>
                    </m:r>
                    <m:ctrlPr>
                      <w:rPr>
                        <w:rFonts w:hint="default" w:ascii="Cambria Math" w:hAnsi="Cambria Math" w:cs="Times New Roman"/>
                        <w:sz w:val="20"/>
                        <w:szCs w:val="20"/>
                      </w:rPr>
                    </m:ctrlPr>
                  </m:sub>
                </m:sSub>
                <m:r>
                  <m:rPr>
                    <m:sty m:val="p"/>
                  </m:rPr>
                  <w:rPr>
                    <w:rFonts w:hint="default" w:ascii="Cambria Math" w:hAnsi="Cambria Math" w:cs="Times New Roman"/>
                    <w:sz w:val="20"/>
                    <w:szCs w:val="20"/>
                  </w:rPr>
                  <m:t xml:space="preserve"> + 2ms</m:t>
                </m:r>
                <m:ctrlPr>
                  <w:rPr>
                    <w:rFonts w:hint="default" w:ascii="Cambria Math" w:hAnsi="Cambria Math" w:cs="Times New Roman"/>
                    <w:sz w:val="20"/>
                    <w:szCs w:val="20"/>
                  </w:rPr>
                </m:ctrlPr>
              </m:num>
              <m:den>
                <m:r>
                  <m:rPr/>
                  <w:rPr>
                    <w:rFonts w:hint="default" w:ascii="Cambria Math" w:hAnsi="Cambria Math" w:cs="Times New Roman"/>
                    <w:sz w:val="20"/>
                    <w:szCs w:val="20"/>
                  </w:rPr>
                  <m:t>NR</m:t>
                </m:r>
                <m:r>
                  <m:rPr>
                    <m:sty m:val="p"/>
                  </m:rPr>
                  <w:rPr>
                    <w:rFonts w:hint="default" w:ascii="Cambria Math" w:hAnsi="Cambria Math" w:cs="Times New Roman"/>
                    <w:sz w:val="20"/>
                    <w:szCs w:val="20"/>
                  </w:rPr>
                  <m:t xml:space="preserve"> </m:t>
                </m:r>
                <m:r>
                  <m:rPr/>
                  <w:rPr>
                    <w:rFonts w:hint="default" w:ascii="Cambria Math" w:hAnsi="Cambria Math" w:cs="Times New Roman"/>
                    <w:sz w:val="20"/>
                    <w:szCs w:val="20"/>
                  </w:rPr>
                  <m:t>slot</m:t>
                </m:r>
                <m:r>
                  <m:rPr>
                    <m:sty m:val="p"/>
                  </m:rPr>
                  <w:rPr>
                    <w:rFonts w:hint="default" w:ascii="Cambria Math" w:hAnsi="Cambria Math" w:cs="Times New Roman"/>
                    <w:sz w:val="20"/>
                    <w:szCs w:val="20"/>
                  </w:rPr>
                  <m:t xml:space="preserve"> </m:t>
                </m:r>
                <m:r>
                  <m:rPr/>
                  <w:rPr>
                    <w:rFonts w:hint="default" w:ascii="Cambria Math" w:hAnsi="Cambria Math" w:cs="Times New Roman"/>
                    <w:sz w:val="20"/>
                    <w:szCs w:val="20"/>
                  </w:rPr>
                  <m:t>lengtℎ</m:t>
                </m:r>
                <m:ctrlPr>
                  <w:rPr>
                    <w:rFonts w:hint="default" w:ascii="Cambria Math" w:hAnsi="Cambria Math" w:cs="Times New Roman"/>
                    <w:sz w:val="20"/>
                    <w:szCs w:val="20"/>
                  </w:rPr>
                </m:ctrlPr>
              </m:den>
            </m:f>
            <m:ctrlPr>
              <w:rPr>
                <w:rFonts w:hint="default" w:ascii="Cambria Math" w:hAnsi="Cambria Math" w:cs="Times New Roman"/>
                <w:sz w:val="20"/>
                <w:szCs w:val="20"/>
              </w:rPr>
            </m:ctrlPr>
          </m:e>
        </m:d>
      </m:oMath>
      <w:r>
        <w:rPr>
          <w:rFonts w:hint="default" w:ascii="Times New Roman" w:hAnsi="Times New Roman" w:eastAsia="宋体" w:cs="Times New Roman"/>
          <w:sz w:val="20"/>
          <w:szCs w:val="20"/>
          <w:lang w:val="en-GB" w:eastAsia="zh-CN"/>
        </w:rPr>
        <w:t xml:space="preserve">.  The UE shall be able to apply old pathloss reference signals until the slot n + </w:t>
      </w:r>
      <m:oMath>
        <m:sSub>
          <m:sSubPr>
            <m:ctrlPr>
              <w:rPr>
                <w:rFonts w:hint="default" w:ascii="Cambria Math" w:hAnsi="Cambria Math" w:eastAsia="宋体" w:cs="Times New Roman"/>
                <w:sz w:val="20"/>
                <w:szCs w:val="20"/>
                <w:lang w:val="en-GB" w:eastAsia="zh-CN"/>
              </w:rPr>
            </m:ctrlPr>
          </m:sSubPr>
          <m:e>
            <m:r>
              <m:rPr/>
              <w:rPr>
                <w:rFonts w:hint="default" w:ascii="Cambria Math" w:hAnsi="Cambria Math" w:eastAsia="宋体" w:cs="Times New Roman"/>
                <w:sz w:val="20"/>
                <w:szCs w:val="20"/>
                <w:lang w:val="en-GB" w:eastAsia="zh-CN"/>
              </w:rPr>
              <m:t>T</m:t>
            </m:r>
            <m:ctrlPr>
              <w:rPr>
                <w:rFonts w:hint="default" w:ascii="Cambria Math" w:hAnsi="Cambria Math" w:eastAsia="宋体" w:cs="Times New Roman"/>
                <w:sz w:val="20"/>
                <w:szCs w:val="20"/>
                <w:lang w:val="en-GB" w:eastAsia="zh-CN"/>
              </w:rPr>
            </m:ctrlPr>
          </m:e>
          <m:sub>
            <m:r>
              <m:rPr/>
              <w:rPr>
                <w:rFonts w:hint="default" w:ascii="Cambria Math" w:hAnsi="Cambria Math" w:eastAsia="宋体" w:cs="Times New Roman"/>
                <w:sz w:val="20"/>
                <w:szCs w:val="20"/>
                <w:lang w:val="en-GB" w:eastAsia="zh-CN"/>
              </w:rPr>
              <m:t>HARQ</m:t>
            </m:r>
            <m:ctrlPr>
              <w:rPr>
                <w:rFonts w:hint="default" w:ascii="Cambria Math" w:hAnsi="Cambria Math" w:eastAsia="宋体" w:cs="Times New Roman"/>
                <w:sz w:val="20"/>
                <w:szCs w:val="20"/>
                <w:lang w:val="en-GB" w:eastAsia="zh-CN"/>
              </w:rPr>
            </m:ctrlPr>
          </m:sub>
        </m:sSub>
      </m:oMath>
      <w:r>
        <w:rPr>
          <w:rFonts w:hint="default" w:ascii="Times New Roman" w:hAnsi="Times New Roman" w:eastAsia="宋体" w:cs="Times New Roman"/>
          <w:sz w:val="20"/>
          <w:szCs w:val="20"/>
          <w:lang w:val="en-GB" w:eastAsia="zh-CN"/>
        </w:rPr>
        <w:t xml:space="preserve">+ </w:t>
      </w:r>
      <m:oMath>
        <m:r>
          <m:rPr>
            <m:sty m:val="p"/>
          </m:rPr>
          <w:rPr>
            <w:rFonts w:hint="default" w:ascii="Cambria Math" w:hAnsi="Cambria Math" w:eastAsia="宋体" w:cs="Times New Roman"/>
            <w:sz w:val="20"/>
            <w:szCs w:val="20"/>
            <w:lang w:val="en-GB" w:eastAsia="zh-CN"/>
          </w:rPr>
          <m:t>3</m:t>
        </m:r>
        <m:sSubSup>
          <m:sSubSupPr>
            <m:ctrlPr>
              <w:rPr>
                <w:rFonts w:hint="default" w:ascii="Cambria Math" w:hAnsi="Cambria Math" w:cs="Times New Roman"/>
                <w:sz w:val="20"/>
                <w:szCs w:val="20"/>
              </w:rPr>
            </m:ctrlPr>
          </m:sSubSupPr>
          <m:e>
            <m:r>
              <m:rPr>
                <m:sty m:val="p"/>
              </m:rPr>
              <w:rPr>
                <w:rFonts w:hint="default" w:ascii="Cambria Math" w:hAnsi="Cambria Math" w:cs="Times New Roman"/>
                <w:sz w:val="20"/>
                <w:szCs w:val="20"/>
              </w:rPr>
              <m:t>N</m:t>
            </m:r>
            <m:ctrlPr>
              <w:rPr>
                <w:rFonts w:hint="default" w:ascii="Cambria Math" w:hAnsi="Cambria Math" w:cs="Times New Roman"/>
                <w:sz w:val="20"/>
                <w:szCs w:val="20"/>
              </w:rPr>
            </m:ctrlPr>
          </m:e>
          <m:sub>
            <m:r>
              <m:rPr>
                <m:sty m:val="p"/>
              </m:rPr>
              <w:rPr>
                <w:rFonts w:hint="default" w:ascii="Cambria Math" w:hAnsi="Cambria Math" w:cs="Times New Roman"/>
                <w:sz w:val="20"/>
                <w:szCs w:val="20"/>
              </w:rPr>
              <m:t>slot</m:t>
            </m:r>
            <m:ctrlPr>
              <w:rPr>
                <w:rFonts w:hint="default" w:ascii="Cambria Math" w:hAnsi="Cambria Math" w:cs="Times New Roman"/>
                <w:sz w:val="20"/>
                <w:szCs w:val="20"/>
              </w:rPr>
            </m:ctrlPr>
          </m:sub>
          <m:sup>
            <m:r>
              <m:rPr>
                <m:sty m:val="p"/>
              </m:rPr>
              <w:rPr>
                <w:rFonts w:hint="default" w:ascii="Cambria Math" w:hAnsi="Cambria Math" w:cs="Times New Roman"/>
                <w:sz w:val="20"/>
                <w:szCs w:val="20"/>
              </w:rPr>
              <m:t>subframe,µ</m:t>
            </m:r>
            <m:ctrlPr>
              <w:rPr>
                <w:rFonts w:hint="default" w:ascii="Cambria Math" w:hAnsi="Cambria Math" w:cs="Times New Roman"/>
                <w:sz w:val="20"/>
                <w:szCs w:val="20"/>
              </w:rPr>
            </m:ctrlPr>
          </m:sup>
        </m:sSubSup>
      </m:oMath>
      <w:r>
        <w:rPr>
          <w:rFonts w:hint="default" w:ascii="Times New Roman" w:hAnsi="Times New Roman" w:eastAsia="宋体" w:cs="Times New Roman"/>
          <w:sz w:val="20"/>
          <w:szCs w:val="20"/>
          <w:lang w:val="en-GB" w:eastAsia="zh-CN"/>
        </w:rPr>
        <w:t>.</w:t>
      </w:r>
      <w:r>
        <w:rPr>
          <w:rFonts w:hint="default" w:ascii="Times New Roman" w:hAnsi="Times New Roman" w:eastAsia="宋体" w:cs="Times New Roman"/>
          <w:sz w:val="20"/>
          <w:szCs w:val="20"/>
          <w:lang w:val="en-US" w:eastAsia="zh-CN"/>
        </w:rPr>
        <w:t xml:space="preserve">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However, we think there is no impact on RedCap UEs in NTN scenario since each component is not impacted by reduced UE receiving branches.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9: RAN4 shall reuse the legacy passloss reference signal switching delay in NTN for 1Rx and 2Rx RedCap UEs in NTN scenario.</w:t>
      </w:r>
    </w:p>
    <w:p>
      <w:pPr>
        <w:pStyle w:val="7"/>
        <w:overflowPunct w:val="0"/>
        <w:autoSpaceDE w:val="0"/>
        <w:autoSpaceDN w:val="0"/>
        <w:adjustRightInd w:val="0"/>
        <w:spacing w:before="120" w:after="120" w:line="360" w:lineRule="auto"/>
        <w:jc w:val="both"/>
        <w:textAlignment w:val="baseline"/>
        <w:rPr>
          <w:rFonts w:hint="eastAsia" w:ascii="Times New Roman" w:hAnsi="Times New Roman" w:eastAsia="Times New Roman" w:cs="Times New Roman"/>
          <w:b w:val="0"/>
          <w:bCs w:val="0"/>
          <w:sz w:val="20"/>
          <w:lang w:val="en-US" w:eastAsia="zh-CN"/>
        </w:rPr>
      </w:pPr>
      <w:r>
        <w:rPr>
          <w:rFonts w:hint="eastAsia" w:eastAsia="Times New Roman" w:cs="Times New Roman"/>
          <w:b w:val="0"/>
          <w:bCs w:val="0"/>
          <w:sz w:val="20"/>
          <w:lang w:val="en-US" w:eastAsia="zh-CN"/>
        </w:rPr>
        <w:t>2.1.</w:t>
      </w:r>
      <w:r>
        <w:rPr>
          <w:rFonts w:hint="eastAsia" w:cs="Times New Roman"/>
          <w:b w:val="0"/>
          <w:bCs w:val="0"/>
          <w:sz w:val="20"/>
          <w:lang w:val="en-US" w:eastAsia="zh-CN"/>
        </w:rPr>
        <w:t>1</w:t>
      </w:r>
      <w:r>
        <w:rPr>
          <w:rFonts w:hint="eastAsia" w:eastAsia="Times New Roman" w:cs="Times New Roman"/>
          <w:b w:val="0"/>
          <w:bCs w:val="0"/>
          <w:sz w:val="20"/>
          <w:lang w:val="en-US" w:eastAsia="zh-CN"/>
        </w:rPr>
        <w:t>.1.2.</w:t>
      </w:r>
      <w:r>
        <w:rPr>
          <w:rFonts w:hint="eastAsia" w:cs="Times New Roman"/>
          <w:b w:val="0"/>
          <w:bCs w:val="0"/>
          <w:sz w:val="20"/>
          <w:lang w:val="en-US" w:eastAsia="zh-CN"/>
        </w:rPr>
        <w:t>3</w:t>
      </w:r>
      <w:r>
        <w:rPr>
          <w:rFonts w:hint="eastAsia" w:eastAsia="Times New Roman" w:cs="Times New Roman"/>
          <w:b w:val="0"/>
          <w:bCs w:val="0"/>
          <w:sz w:val="20"/>
          <w:lang w:val="en-US" w:eastAsia="zh-CN"/>
        </w:rPr>
        <w:t xml:space="preserve"> </w:t>
      </w:r>
      <w:r>
        <w:rPr>
          <w:rFonts w:hint="eastAsia" w:eastAsia="Times New Roman"/>
          <w:sz w:val="20"/>
          <w:szCs w:val="20"/>
          <w:vertAlign w:val="baseline"/>
          <w:lang w:val="en-US" w:eastAsia="zh-CN"/>
        </w:rPr>
        <w:t>Minimization of Derive Tests (MDT) in RRC Idle state and RRC Inactive state</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For minimization of derive tests, RAN4 mainly focus on the logged MDT which is different legacy derive tests. The general procedure can be seen as below:</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3405505" cy="2729230"/>
            <wp:effectExtent l="0" t="0" r="8255" b="13970"/>
            <wp:docPr id="5"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IMG_256"/>
                    <pic:cNvPicPr>
                      <a:picLocks noChangeAspect="1"/>
                    </pic:cNvPicPr>
                  </pic:nvPicPr>
                  <pic:blipFill>
                    <a:blip r:embed="rId8"/>
                    <a:stretch>
                      <a:fillRect/>
                    </a:stretch>
                  </pic:blipFill>
                  <pic:spPr>
                    <a:xfrm>
                      <a:off x="0" y="0"/>
                      <a:ext cx="3405505" cy="2729230"/>
                    </a:xfrm>
                    <a:prstGeom prst="rect">
                      <a:avLst/>
                    </a:prstGeom>
                    <a:noFill/>
                    <a:ln w="9525">
                      <a:noFill/>
                    </a:ln>
                  </pic:spPr>
                </pic:pic>
              </a:graphicData>
            </a:graphic>
          </wp:inline>
        </w:drawing>
      </w:r>
    </w:p>
    <w:p>
      <w:pPr>
        <w:overflowPunct w:val="0"/>
        <w:autoSpaceDE w:val="0"/>
        <w:autoSpaceDN w:val="0"/>
        <w:adjustRightInd w:val="0"/>
        <w:spacing w:before="120" w:after="120" w:line="360" w:lineRule="auto"/>
        <w:jc w:val="center"/>
        <w:textAlignment w:val="baseline"/>
        <w:rPr>
          <w:rFonts w:hint="default" w:eastAsia="宋体" w:cs="Times New Roman"/>
          <w:b w:val="0"/>
          <w:bCs w:val="0"/>
          <w:sz w:val="20"/>
          <w:lang w:val="en-US" w:eastAsia="zh-CN"/>
        </w:rPr>
      </w:pPr>
      <w:r>
        <w:rPr>
          <w:rFonts w:hint="eastAsia" w:eastAsia="宋体" w:cs="Times New Roman"/>
          <w:b w:val="0"/>
          <w:bCs w:val="0"/>
          <w:sz w:val="20"/>
          <w:lang w:val="en-US" w:eastAsia="zh-CN"/>
        </w:rPr>
        <w:t>Figure  MDT procedure</w:t>
      </w:r>
    </w:p>
    <w:p>
      <w:pPr>
        <w:overflowPunct w:val="0"/>
        <w:autoSpaceDE w:val="0"/>
        <w:autoSpaceDN w:val="0"/>
        <w:adjustRightInd w:val="0"/>
        <w:spacing w:before="120" w:after="120" w:line="360" w:lineRule="auto"/>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And for this part there are three parts shall be considered:</w:t>
      </w:r>
    </w:p>
    <w:p>
      <w:pPr>
        <w:numPr>
          <w:ilvl w:val="0"/>
          <w:numId w:val="9"/>
        </w:numPr>
        <w:overflowPunct w:val="0"/>
        <w:autoSpaceDE w:val="0"/>
        <w:autoSpaceDN w:val="0"/>
        <w:adjustRightInd w:val="0"/>
        <w:spacing w:before="120" w:after="120" w:line="360" w:lineRule="auto"/>
        <w:ind w:left="420" w:hanging="420"/>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Logging measurements in RRC_IDLE state, reporting the logged measurement;</w:t>
      </w:r>
    </w:p>
    <w:p>
      <w:pPr>
        <w:numPr>
          <w:ilvl w:val="0"/>
          <w:numId w:val="9"/>
        </w:numPr>
        <w:overflowPunct w:val="0"/>
        <w:autoSpaceDE w:val="0"/>
        <w:autoSpaceDN w:val="0"/>
        <w:adjustRightInd w:val="0"/>
        <w:spacing w:before="120" w:after="120" w:line="360" w:lineRule="auto"/>
        <w:ind w:left="420" w:hanging="420"/>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Logging of RRC connection establishment failure, reporting the logged failure;</w:t>
      </w:r>
    </w:p>
    <w:p>
      <w:pPr>
        <w:numPr>
          <w:ilvl w:val="0"/>
          <w:numId w:val="9"/>
        </w:numPr>
        <w:overflowPunct w:val="0"/>
        <w:autoSpaceDE w:val="0"/>
        <w:autoSpaceDN w:val="0"/>
        <w:adjustRightInd w:val="0"/>
        <w:spacing w:before="120" w:after="120" w:line="360" w:lineRule="auto"/>
        <w:ind w:left="420" w:hanging="420"/>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Logging of radio link failure and handover failure, reporting the logged failure.</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cs="Times New Roman"/>
          <w:b w:val="0"/>
          <w:bCs w:val="0"/>
          <w:sz w:val="20"/>
          <w:lang w:val="en-US" w:eastAsia="zh-CN"/>
        </w:rPr>
      </w:pPr>
      <w:r>
        <w:rPr>
          <w:rFonts w:hint="eastAsia" w:eastAsia="宋体" w:cs="Times New Roman"/>
          <w:b w:val="0"/>
          <w:bCs w:val="0"/>
          <w:sz w:val="20"/>
          <w:lang w:val="en-US" w:eastAsia="zh-CN"/>
        </w:rPr>
        <w:t xml:space="preserve">For the logged MDT requirements and RRC connection establishment failure logging and reporting, the requirements consist of two parts: measurement requirements and relative time stamp. Different part has different requirements, among them the relative time stamp has different time duration which is values in seconds.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To my  understanding, RAN4 shall define the related timing accuracy requirements. However, the requirements will not be impacted by the reduced UE receiving branches since the accuracy of the relative time stamping is the drift of the time stamping. Whatever it</w:t>
      </w:r>
      <w:r>
        <w:rPr>
          <w:rFonts w:hint="default" w:eastAsia="宋体"/>
          <w:sz w:val="20"/>
          <w:szCs w:val="20"/>
          <w:lang w:val="en-US" w:eastAsia="zh-CN"/>
        </w:rPr>
        <w:t>’</w:t>
      </w:r>
      <w:r>
        <w:rPr>
          <w:rFonts w:hint="eastAsia" w:eastAsia="宋体"/>
          <w:sz w:val="20"/>
          <w:szCs w:val="20"/>
          <w:lang w:val="en-US" w:eastAsia="zh-CN"/>
        </w:rPr>
        <w:t>s the 1Rx UE or 2Rx UE, if the drift of time stamping for each measurement data collection is not more than the seconds in legacy, the requirements can be applied. Since the differences between 1Rx UE and 2Rx UE in terms of timestamp recording accuracy are primarily determined by their internal hardware configurations, not directly by the number of antennas.</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However, we see majority companies do not have strong view to define the related requirements for MDT since the RedCap UEs have low complexity and low cost. Few companies deem that the cell size is large enough for NTN and MDT requirements have been defined in legacy NTN. Thus, MDT shall be defined. However, several companies think that normal UEs can also perform MDT and it is not necessary to study MDT for RedCap UEs. We do not have the strong view on this.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szCs w:val="20"/>
          <w:lang w:val="en-US" w:eastAsia="zh-CN"/>
        </w:rPr>
      </w:pPr>
      <w:r>
        <w:rPr>
          <w:rFonts w:hint="eastAsia" w:eastAsia="宋体" w:cs="Times New Roman"/>
          <w:b/>
          <w:bCs/>
          <w:sz w:val="20"/>
          <w:szCs w:val="20"/>
          <w:lang w:val="en-US" w:eastAsia="zh-CN"/>
        </w:rPr>
        <w:t>Observation 7: For the logged MDT requirements and RRC connection establishment failure logging and reporting, the requirements consist of two parts: measurement requirements and relative time stamp. Different part has different requirements, among them the relative time stamp has different time duration which is values in seconds.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szCs w:val="20"/>
          <w:lang w:val="en-US" w:eastAsia="zh-CN"/>
        </w:rPr>
      </w:pPr>
      <w:r>
        <w:rPr>
          <w:rFonts w:hint="eastAsia" w:eastAsia="宋体" w:cs="Times New Roman"/>
          <w:b/>
          <w:bCs/>
          <w:sz w:val="20"/>
          <w:szCs w:val="20"/>
          <w:lang w:val="en-US" w:eastAsia="zh-CN"/>
        </w:rPr>
        <w:t>Observation 8: M</w:t>
      </w:r>
      <w:r>
        <w:rPr>
          <w:rFonts w:hint="eastAsia" w:eastAsia="宋体"/>
          <w:b/>
          <w:bCs/>
          <w:sz w:val="20"/>
          <w:szCs w:val="20"/>
          <w:lang w:val="en-US" w:eastAsia="zh-CN"/>
        </w:rPr>
        <w:t>ajority companies do not have strong view to define the related requirements for MDT since the RedCap UEs have low complexity and low cost. Few companies deem that the cell size is large enough for NTN and MDT requirements have been defined in legacy NTN. Thus, MDT shall be defined. However, several companies think that normal UEs can also perform MDT and it is not necessary to study MDT for RedCap UEs. We do not have the strong view on this.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szCs w:val="20"/>
          <w:lang w:val="en-US" w:eastAsia="zh-CN"/>
        </w:rPr>
      </w:pPr>
      <w:r>
        <w:rPr>
          <w:rFonts w:hint="eastAsia" w:eastAsia="宋体" w:cs="Times New Roman"/>
          <w:b/>
          <w:bCs/>
          <w:sz w:val="20"/>
          <w:szCs w:val="20"/>
          <w:lang w:val="en-US" w:eastAsia="zh-CN"/>
        </w:rPr>
        <w:t xml:space="preserve">Proposal 10: RAN4 shall consider NTN cell size and RedCap UE capability and then decide whether to define relevant requirements.  </w:t>
      </w:r>
    </w:p>
    <w:p>
      <w:pPr>
        <w:pStyle w:val="6"/>
        <w:overflowPunct w:val="0"/>
        <w:autoSpaceDE w:val="0"/>
        <w:autoSpaceDN w:val="0"/>
        <w:adjustRightInd w:val="0"/>
        <w:spacing w:before="120" w:after="120" w:line="360" w:lineRule="auto"/>
        <w:jc w:val="both"/>
        <w:textAlignment w:val="baseline"/>
        <w:rPr>
          <w:rFonts w:hint="default"/>
          <w:lang w:val="en-US" w:eastAsia="zh-CN"/>
        </w:rPr>
      </w:pPr>
      <w:r>
        <w:rPr>
          <w:rFonts w:hint="eastAsia"/>
          <w:lang w:val="en-US" w:eastAsia="zh-CN"/>
        </w:rPr>
        <w:t>2.1.1.1.3 Unique requirements for RedCap</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In the last meeting, we just discussed the requirements only for RedCap which can be seen as below:</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24" w:hRule="atLeast"/>
          <w:jc w:val="center"/>
        </w:trPr>
        <w:tc>
          <w:tcPr>
            <w:tcW w:w="6800" w:type="dxa"/>
          </w:tcPr>
          <w:p>
            <w:pPr>
              <w:numPr>
                <w:ilvl w:val="0"/>
                <w:numId w:val="9"/>
              </w:numPr>
              <w:overflowPunct w:val="0"/>
              <w:autoSpaceDE w:val="0"/>
              <w:autoSpaceDN w:val="0"/>
              <w:adjustRightInd w:val="0"/>
              <w:spacing w:before="120" w:after="120" w:line="360" w:lineRule="auto"/>
              <w:ind w:left="420" w:hanging="420"/>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Configured Grant based Small Data Transmission (CG-SDT)</w:t>
            </w:r>
          </w:p>
          <w:p>
            <w:pPr>
              <w:numPr>
                <w:ilvl w:val="0"/>
                <w:numId w:val="9"/>
              </w:numPr>
              <w:overflowPunct w:val="0"/>
              <w:autoSpaceDE w:val="0"/>
              <w:autoSpaceDN w:val="0"/>
              <w:adjustRightInd w:val="0"/>
              <w:spacing w:before="120" w:after="120" w:line="360" w:lineRule="auto"/>
              <w:ind w:left="420" w:hanging="420"/>
              <w:jc w:val="both"/>
              <w:textAlignment w:val="baseline"/>
              <w:rPr>
                <w:rFonts w:hint="default" w:ascii="Times New Roman" w:hAnsi="Times New Roman" w:eastAsia="宋体" w:cs="Times New Roman"/>
                <w:b w:val="0"/>
                <w:bCs w:val="0"/>
                <w:sz w:val="20"/>
                <w:vertAlign w:val="baseline"/>
                <w:lang w:val="en-US" w:eastAsia="zh-CN"/>
              </w:rPr>
            </w:pPr>
            <w:r>
              <w:rPr>
                <w:rFonts w:hint="eastAsia" w:eastAsia="宋体" w:cs="Times New Roman"/>
                <w:b w:val="0"/>
                <w:bCs w:val="0"/>
                <w:sz w:val="20"/>
                <w:lang w:val="en-US" w:eastAsia="zh-CN"/>
              </w:rPr>
              <w:t>Random Access based Small Data Transmission (RA-SDT)</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sz w:val="20"/>
          <w:szCs w:val="20"/>
          <w:lang w:val="en-US" w:eastAsia="zh-CN"/>
        </w:rPr>
      </w:pPr>
      <w:r>
        <w:rPr>
          <w:rFonts w:hint="eastAsia" w:eastAsia="宋体"/>
          <w:sz w:val="20"/>
          <w:szCs w:val="20"/>
          <w:lang w:val="en-US" w:eastAsia="zh-CN"/>
        </w:rPr>
        <w:t>For unique requirements for RedCap, we will analyze its feasibility for RedCap UEs in NTN scenario and then decide to whether define the related RRM requirements or not.</w:t>
      </w:r>
    </w:p>
    <w:p>
      <w:pPr>
        <w:pStyle w:val="7"/>
        <w:overflowPunct w:val="0"/>
        <w:autoSpaceDE w:val="0"/>
        <w:autoSpaceDN w:val="0"/>
        <w:adjustRightInd w:val="0"/>
        <w:spacing w:before="120" w:after="120" w:line="360" w:lineRule="auto"/>
        <w:jc w:val="both"/>
        <w:textAlignment w:val="baseline"/>
        <w:rPr>
          <w:rFonts w:hint="eastAsia" w:eastAsia="Times New Roman" w:cs="Times New Roman"/>
          <w:b w:val="0"/>
          <w:bCs w:val="0"/>
          <w:sz w:val="20"/>
          <w:lang w:val="en-US" w:eastAsia="zh-CN"/>
        </w:rPr>
      </w:pPr>
      <w:r>
        <w:rPr>
          <w:rFonts w:hint="eastAsia" w:eastAsia="Times New Roman" w:cs="Times New Roman"/>
          <w:b w:val="0"/>
          <w:bCs w:val="0"/>
          <w:sz w:val="20"/>
          <w:lang w:val="en-US" w:eastAsia="zh-CN"/>
        </w:rPr>
        <w:t>2.1.</w:t>
      </w:r>
      <w:r>
        <w:rPr>
          <w:rFonts w:hint="eastAsia" w:cs="Times New Roman"/>
          <w:b w:val="0"/>
          <w:bCs w:val="0"/>
          <w:sz w:val="20"/>
          <w:lang w:val="en-US" w:eastAsia="zh-CN"/>
        </w:rPr>
        <w:t>1</w:t>
      </w:r>
      <w:r>
        <w:rPr>
          <w:rFonts w:hint="eastAsia" w:eastAsia="Times New Roman" w:cs="Times New Roman"/>
          <w:b w:val="0"/>
          <w:bCs w:val="0"/>
          <w:sz w:val="20"/>
          <w:lang w:val="en-US" w:eastAsia="zh-CN"/>
        </w:rPr>
        <w:t>.1.3.1 Configured Grant based Small Data Transmission (CG-SDT)</w:t>
      </w:r>
    </w:p>
    <w:p>
      <w:pPr>
        <w:overflowPunct w:val="0"/>
        <w:autoSpaceDE w:val="0"/>
        <w:autoSpaceDN w:val="0"/>
        <w:adjustRightInd w:val="0"/>
        <w:spacing w:before="120" w:after="120" w:line="360" w:lineRule="auto"/>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 xml:space="preserve">For CG-SDT, it likes the LTE PUR which does not need the PRACH process in order to reduce the overhead of the uplink resources and reduce the power consumption especially for the small data transmission.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cs="Times New Roman"/>
          <w:b w:val="0"/>
          <w:bCs w:val="0"/>
          <w:sz w:val="20"/>
          <w:lang w:val="en-US" w:eastAsia="zh-CN"/>
        </w:rPr>
        <w:t>Based on the existing specification, t</w:t>
      </w:r>
      <w:r>
        <w:t>he UE is allowed to transmit using the configured uplink resources provided that the UE is synchronized towards the serving cell prior to transmission. If the UE is not able to obtain the synchronization towards the serving cell then the UE shall drop the small data transmission.</w:t>
      </w:r>
      <w:r>
        <w:rPr>
          <w:rFonts w:hint="eastAsia" w:eastAsia="宋体"/>
          <w:lang w:val="en-US" w:eastAsia="zh-CN"/>
        </w:rPr>
        <w:t xml:space="preserve"> Thus, the most important thing is the timing synchronization. RAN4 has already defined the requirements to perform the TA validation based on the RSRP change. When UE is configured with the CG-SDT parameters, UE will store the original RSRP value which is the measurement reference RSRP1. Then UE will select SSB which is above the </w:t>
      </w:r>
      <w:r>
        <w:rPr>
          <w:rFonts w:hint="eastAsia" w:eastAsia="宋体"/>
          <w:i/>
          <w:iCs/>
          <w:lang w:val="en-US" w:eastAsia="zh-CN"/>
        </w:rPr>
        <w:t>cg-SDT-RSRP-ThresholdSSB</w:t>
      </w:r>
      <w:r>
        <w:rPr>
          <w:rFonts w:hint="eastAsia" w:eastAsia="宋体"/>
          <w:lang w:val="en-US" w:eastAsia="zh-CN"/>
        </w:rPr>
        <w:t xml:space="preserve"> or has the same SSB index as the SSB selected for initial transmission for CG-SDT. Based on the selected SSB, UE will measure the current RSRP value of the downlink pathloss reference and than the change between the stored RSRP and the RSRP for current DL pathloss reference will be calculated. If the change is within the threshold, the TA is valid; otherwise, UE will drop the CG-SDT. The current RedCap UEs</w:t>
      </w:r>
      <w:r>
        <w:rPr>
          <w:rFonts w:hint="default" w:eastAsia="宋体"/>
          <w:lang w:val="en-US" w:eastAsia="zh-CN"/>
        </w:rPr>
        <w:t>’</w:t>
      </w:r>
      <w:r>
        <w:rPr>
          <w:rFonts w:hint="eastAsia" w:eastAsia="宋体"/>
          <w:lang w:val="en-US" w:eastAsia="zh-CN"/>
        </w:rPr>
        <w:t xml:space="preserve"> requirement is as below:</w:t>
      </w:r>
    </w:p>
    <w:p>
      <w:pPr>
        <w:pStyle w:val="55"/>
        <w:rPr>
          <w:lang w:val="fr-FR"/>
        </w:rPr>
      </w:pPr>
      <w:r>
        <w:rPr>
          <w:lang w:val="fr-FR"/>
        </w:rPr>
        <w:t>Table 5.5.3-1 Valid measurement for FR1 for UE not configurd with eDRX cycle</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6"/>
              <w:rPr>
                <w:i/>
                <w:iCs/>
                <w:lang w:val="fr-FR"/>
              </w:rPr>
            </w:pPr>
            <w:r>
              <w:rPr>
                <w:lang w:val="fr-FR"/>
              </w:rPr>
              <w:t>Measurement</w:t>
            </w:r>
          </w:p>
        </w:tc>
        <w:tc>
          <w:tcPr>
            <w:tcW w:w="7791" w:type="dxa"/>
          </w:tcPr>
          <w:p>
            <w:pPr>
              <w:pStyle w:val="46"/>
              <w:rPr>
                <w:i/>
                <w:iCs/>
                <w:lang w:val="fr-FR"/>
              </w:rPr>
            </w:pPr>
            <w:r>
              <w:rPr>
                <w:lang w:val="fr-FR"/>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7"/>
              <w:rPr>
                <w:i/>
                <w:iCs/>
                <w:lang w:val="fr-FR"/>
              </w:rPr>
            </w:pPr>
            <w:r>
              <w:rPr>
                <w:lang w:val="fr-FR"/>
              </w:rPr>
              <w:t>RSRP</w:t>
            </w:r>
            <w:r>
              <w:rPr>
                <w:vertAlign w:val="subscript"/>
                <w:lang w:val="fr-FR"/>
              </w:rPr>
              <w:t>1</w:t>
            </w:r>
          </w:p>
        </w:tc>
        <w:tc>
          <w:tcPr>
            <w:tcW w:w="7791" w:type="dxa"/>
          </w:tcPr>
          <w:p>
            <w:pPr>
              <w:pStyle w:val="47"/>
              <w:rPr>
                <w:i/>
                <w:iCs/>
                <w:lang w:val="fr-FR"/>
              </w:rPr>
            </w:pPr>
            <w:r>
              <w:rPr>
                <w:lang w:val="fr-FR"/>
              </w:rPr>
              <w:t>(T1 – min(640ms, M1*T</w:t>
            </w:r>
            <w:r>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Pr>
                <w:vertAlign w:val="subscript"/>
                <w:lang w:val="fr-FR"/>
              </w:rPr>
              <w:t>DRX</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7"/>
              <w:rPr>
                <w:i/>
                <w:iCs/>
                <w:lang w:val="fr-FR"/>
              </w:rPr>
            </w:pPr>
            <w:r>
              <w:rPr>
                <w:lang w:val="fr-FR"/>
              </w:rPr>
              <w:t>RSRP</w:t>
            </w:r>
            <w:r>
              <w:rPr>
                <w:vertAlign w:val="subscript"/>
                <w:lang w:val="fr-FR"/>
              </w:rPr>
              <w:t>2</w:t>
            </w:r>
          </w:p>
        </w:tc>
        <w:tc>
          <w:tcPr>
            <w:tcW w:w="7791" w:type="dxa"/>
          </w:tcPr>
          <w:p>
            <w:pPr>
              <w:pStyle w:val="47"/>
              <w:rPr>
                <w:i/>
                <w:iCs/>
                <w:lang w:val="fr-FR"/>
              </w:rPr>
            </w:pPr>
            <w:r>
              <w:rPr>
                <w:lang w:val="fr-FR"/>
              </w:rPr>
              <w:t>(T2 – min(640ms, M1*T</w:t>
            </w:r>
            <w:r>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lang w:val="en-US" w:eastAsia="zh-CN"/>
        </w:rPr>
      </w:pPr>
      <w:r>
        <w:rPr>
          <w:rFonts w:hint="eastAsia" w:eastAsia="宋体"/>
          <w:lang w:val="en-US" w:eastAsia="zh-CN"/>
        </w:rPr>
        <w:t>We see that the SDT maybe also apply for the NTN scenario which is not the corner case. However, if we plan to define the requirements in NTN, GSO and NGSO shall be distinguished.</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cs="Times New Roman"/>
          <w:b w:val="0"/>
          <w:bCs w:val="0"/>
          <w:sz w:val="20"/>
          <w:lang w:val="en-US" w:eastAsia="zh-CN"/>
        </w:rPr>
      </w:pPr>
      <w:r>
        <w:rPr>
          <w:rFonts w:hint="eastAsia" w:eastAsia="宋体"/>
          <w:lang w:val="en-US" w:eastAsia="zh-CN"/>
        </w:rPr>
        <w:t>For NTN GSO scenario, if UE receives the CG-SDT configuration, UE shall store the latest RSRP value, then UE will select the proper SSB to measure the current DL RSRP, t</w:t>
      </w:r>
      <w:r>
        <w:rPr>
          <w:rFonts w:hint="eastAsia" w:eastAsia="宋体" w:cs="Times New Roman"/>
          <w:b w:val="0"/>
          <w:bCs w:val="0"/>
          <w:sz w:val="20"/>
          <w:lang w:val="en-US" w:eastAsia="zh-CN"/>
        </w:rPr>
        <w:t>he RSRP change will be smaller since the position of GSO satellite is stable from UE perspective and UE would not have the large mobility. The legacy RedCap UEs</w:t>
      </w:r>
      <w:r>
        <w:rPr>
          <w:rFonts w:hint="default" w:eastAsia="宋体" w:cs="Times New Roman"/>
          <w:b w:val="0"/>
          <w:bCs w:val="0"/>
          <w:sz w:val="20"/>
          <w:lang w:val="en-US" w:eastAsia="zh-CN"/>
        </w:rPr>
        <w:t>’</w:t>
      </w:r>
      <w:r>
        <w:rPr>
          <w:rFonts w:hint="eastAsia" w:eastAsia="宋体" w:cs="Times New Roman"/>
          <w:b w:val="0"/>
          <w:bCs w:val="0"/>
          <w:sz w:val="20"/>
          <w:lang w:val="en-US" w:eastAsia="zh-CN"/>
        </w:rPr>
        <w:t xml:space="preserve"> RSRP measurement can be the baseline.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cs="Times New Roman"/>
          <w:b w:val="0"/>
          <w:bCs w:val="0"/>
          <w:sz w:val="20"/>
          <w:lang w:val="en-US" w:eastAsia="zh-CN"/>
        </w:rPr>
      </w:pPr>
      <w:r>
        <w:rPr>
          <w:rFonts w:hint="eastAsia" w:eastAsia="宋体" w:cs="Times New Roman"/>
          <w:b w:val="0"/>
          <w:bCs w:val="0"/>
          <w:sz w:val="20"/>
          <w:lang w:val="en-US" w:eastAsia="zh-CN"/>
        </w:rPr>
        <w:t>For NTN NGSO scenario, the main difference compared to GSO is the velocity of the satellite. In theory, the RSRP change will be very large for NGSO and the TA will be invalid based on RSRP change which will exceed the RSRP change threshold.  However, based on RAN2</w:t>
      </w:r>
      <w:r>
        <w:rPr>
          <w:rFonts w:hint="default" w:eastAsia="宋体" w:cs="Times New Roman"/>
          <w:b w:val="0"/>
          <w:bCs w:val="0"/>
          <w:sz w:val="20"/>
          <w:lang w:val="en-US" w:eastAsia="zh-CN"/>
        </w:rPr>
        <w:t>’</w:t>
      </w:r>
      <w:r>
        <w:rPr>
          <w:rFonts w:hint="eastAsia" w:eastAsia="宋体" w:cs="Times New Roman"/>
          <w:b w:val="0"/>
          <w:bCs w:val="0"/>
          <w:sz w:val="20"/>
          <w:lang w:val="en-US" w:eastAsia="zh-CN"/>
        </w:rPr>
        <w:t>s understanding we find the threshold of RSRP change can be up to 34dB:</w:t>
      </w:r>
    </w:p>
    <w:p>
      <w:pPr>
        <w:overflowPunct w:val="0"/>
        <w:autoSpaceDE w:val="0"/>
        <w:autoSpaceDN w:val="0"/>
        <w:adjustRightInd w:val="0"/>
        <w:spacing w:before="120" w:after="120" w:line="360" w:lineRule="auto"/>
        <w:jc w:val="both"/>
        <w:textAlignment w:val="baseline"/>
        <w:rPr>
          <w:rFonts w:hint="default" w:eastAsia="宋体" w:cs="Times New Roman"/>
          <w:b w:val="0"/>
          <w:bCs w:val="0"/>
          <w:sz w:val="20"/>
          <w:lang w:val="en-US" w:eastAsia="zh-CN"/>
        </w:rPr>
      </w:pPr>
      <w:r>
        <w:drawing>
          <wp:inline distT="0" distB="0" distL="114300" distR="114300">
            <wp:extent cx="6119495" cy="434975"/>
            <wp:effectExtent l="0" t="0" r="6985" b="698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9"/>
                    <a:stretch>
                      <a:fillRect/>
                    </a:stretch>
                  </pic:blipFill>
                  <pic:spPr>
                    <a:xfrm>
                      <a:off x="0" y="0"/>
                      <a:ext cx="6119495" cy="43497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cs="Times New Roman"/>
          <w:b w:val="0"/>
          <w:bCs w:val="0"/>
          <w:sz w:val="20"/>
          <w:lang w:val="en-US" w:eastAsia="zh-CN"/>
        </w:rPr>
      </w:pPr>
      <w:r>
        <w:rPr>
          <w:rFonts w:hint="eastAsia" w:eastAsia="宋体" w:cs="Times New Roman"/>
          <w:b w:val="0"/>
          <w:bCs w:val="0"/>
          <w:sz w:val="20"/>
          <w:lang w:val="en-US" w:eastAsia="zh-CN"/>
        </w:rPr>
        <w:t xml:space="preserve">We think this threshold is relaxed enough and also there are 5bits spared. Thus, we support the CG-SDT shall be studied in NGSO scenario. The  valid measurement for FR1 in NGSO shall be the same as in GSO.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cs="Times New Roman"/>
          <w:b w:val="0"/>
          <w:bCs w:val="0"/>
          <w:sz w:val="20"/>
          <w:lang w:val="en-US" w:eastAsia="zh-CN"/>
        </w:rPr>
      </w:pPr>
      <w:r>
        <w:rPr>
          <w:rFonts w:hint="eastAsia" w:eastAsia="宋体" w:cs="Times New Roman"/>
          <w:b w:val="0"/>
          <w:bCs w:val="0"/>
          <w:sz w:val="20"/>
          <w:lang w:val="en-US" w:eastAsia="zh-CN"/>
        </w:rPr>
        <w:t xml:space="preserve">The next point shall be also considered in NTN scenario which is the SDT timer, the TA validation shall be verified before the timer expiration. </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cs="Times New Roman"/>
          <w:b w:val="0"/>
          <w:bCs w:val="0"/>
          <w:sz w:val="20"/>
          <w:lang w:val="en-US" w:eastAsia="zh-CN"/>
        </w:rPr>
      </w:pPr>
      <w:r>
        <w:rPr>
          <w:rFonts w:hint="eastAsia" w:eastAsia="宋体" w:cs="Times New Roman"/>
          <w:b w:val="0"/>
          <w:bCs w:val="0"/>
          <w:sz w:val="20"/>
          <w:lang w:val="en-US" w:eastAsia="zh-CN"/>
        </w:rPr>
        <w:t>Above all, the final valid measurement for FR1 can be:</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6"/>
              <w:rPr>
                <w:i/>
                <w:iCs/>
                <w:lang w:val="fr-FR"/>
              </w:rPr>
            </w:pPr>
            <w:r>
              <w:rPr>
                <w:lang w:val="fr-FR"/>
              </w:rPr>
              <w:t>Measurement</w:t>
            </w:r>
          </w:p>
        </w:tc>
        <w:tc>
          <w:tcPr>
            <w:tcW w:w="7791" w:type="dxa"/>
          </w:tcPr>
          <w:p>
            <w:pPr>
              <w:pStyle w:val="46"/>
              <w:rPr>
                <w:i/>
                <w:iCs/>
                <w:lang w:val="fr-FR"/>
              </w:rPr>
            </w:pPr>
            <w:r>
              <w:rPr>
                <w:lang w:val="fr-FR"/>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7"/>
              <w:rPr>
                <w:i/>
                <w:iCs/>
                <w:lang w:val="fr-FR"/>
              </w:rPr>
            </w:pPr>
            <w:r>
              <w:rPr>
                <w:lang w:val="fr-FR"/>
              </w:rPr>
              <w:t>RSRP</w:t>
            </w:r>
            <w:r>
              <w:rPr>
                <w:vertAlign w:val="subscript"/>
                <w:lang w:val="fr-FR"/>
              </w:rPr>
              <w:t>1</w:t>
            </w:r>
          </w:p>
        </w:tc>
        <w:tc>
          <w:tcPr>
            <w:tcW w:w="7791" w:type="dxa"/>
          </w:tcPr>
          <w:p>
            <w:pPr>
              <w:pStyle w:val="47"/>
              <w:rPr>
                <w:i/>
                <w:iCs/>
                <w:lang w:val="fr-FR"/>
              </w:rPr>
            </w:pPr>
            <w:r>
              <w:rPr>
                <w:lang w:val="fr-FR"/>
              </w:rPr>
              <w:t>(T1 – min(</w:t>
            </w:r>
            <w:r>
              <w:rPr>
                <w:rFonts w:hint="eastAsia" w:eastAsia="宋体"/>
                <w:highlight w:val="yellow"/>
                <w:lang w:val="en-US" w:eastAsia="zh-CN"/>
              </w:rPr>
              <w:t>800</w:t>
            </w:r>
            <w:r>
              <w:rPr>
                <w:highlight w:val="yellow"/>
                <w:lang w:val="fr-FR"/>
              </w:rPr>
              <w:t>ms</w:t>
            </w:r>
            <w:r>
              <w:rPr>
                <w:lang w:val="fr-FR"/>
              </w:rPr>
              <w:t>, M1*T</w:t>
            </w:r>
            <w:r>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w:t>
            </w:r>
            <w:r>
              <w:rPr>
                <w:rFonts w:hint="eastAsia" w:eastAsia="宋体"/>
                <w:highlight w:val="yellow"/>
                <w:lang w:val="en-US" w:eastAsia="zh-CN"/>
              </w:rPr>
              <w:t>800</w:t>
            </w:r>
            <w:r>
              <w:rPr>
                <w:highlight w:val="yellow"/>
                <w:lang w:val="fr-FR"/>
              </w:rPr>
              <w:t>ms</w:t>
            </w:r>
            <w:r>
              <w:rPr>
                <w:lang w:val="fr-FR"/>
              </w:rPr>
              <w:t>, M1*T</w:t>
            </w:r>
            <w:r>
              <w:rPr>
                <w:vertAlign w:val="subscript"/>
                <w:lang w:val="fr-FR"/>
              </w:rPr>
              <w:t>DRX</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7"/>
              <w:rPr>
                <w:i/>
                <w:iCs/>
                <w:lang w:val="fr-FR"/>
              </w:rPr>
            </w:pPr>
            <w:r>
              <w:rPr>
                <w:lang w:val="fr-FR"/>
              </w:rPr>
              <w:t>RSRP</w:t>
            </w:r>
            <w:r>
              <w:rPr>
                <w:vertAlign w:val="subscript"/>
                <w:lang w:val="fr-FR"/>
              </w:rPr>
              <w:t>2</w:t>
            </w:r>
          </w:p>
        </w:tc>
        <w:tc>
          <w:tcPr>
            <w:tcW w:w="7791" w:type="dxa"/>
          </w:tcPr>
          <w:p>
            <w:pPr>
              <w:pStyle w:val="47"/>
              <w:rPr>
                <w:i/>
                <w:iCs/>
                <w:lang w:val="fr-FR"/>
              </w:rPr>
            </w:pPr>
            <w:r>
              <w:rPr>
                <w:lang w:val="fr-FR"/>
              </w:rPr>
              <w:t>(T2 – min(</w:t>
            </w:r>
            <w:r>
              <w:rPr>
                <w:rFonts w:hint="eastAsia" w:eastAsia="宋体"/>
                <w:highlight w:val="yellow"/>
                <w:lang w:val="en-US" w:eastAsia="zh-CN"/>
              </w:rPr>
              <w:t>800</w:t>
            </w:r>
            <w:r>
              <w:rPr>
                <w:highlight w:val="yellow"/>
                <w:lang w:val="fr-FR"/>
              </w:rPr>
              <w:t>ms</w:t>
            </w:r>
            <w:r>
              <w:rPr>
                <w:lang w:val="fr-FR"/>
              </w:rPr>
              <w:t>, M1*T</w:t>
            </w:r>
            <w:r>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Pr>
          <w:p>
            <w:pPr>
              <w:pStyle w:val="47"/>
              <w:jc w:val="both"/>
              <w:rPr>
                <w:rFonts w:hint="default" w:eastAsia="宋体"/>
                <w:lang w:val="en-US" w:eastAsia="zh-CN"/>
              </w:rPr>
            </w:pPr>
            <w:r>
              <w:rPr>
                <w:rFonts w:hint="eastAsia" w:eastAsia="宋体"/>
                <w:lang w:val="en-US" w:eastAsia="zh-CN"/>
              </w:rPr>
              <w:t xml:space="preserve">Note: </w:t>
            </w:r>
            <w:r>
              <w:rPr>
                <w:rFonts w:ascii="Arial" w:hAnsi="Arial"/>
                <w:sz w:val="18"/>
                <w:lang w:eastAsia="zh-CN"/>
              </w:rPr>
              <w:t>The UE is not required to meet the requirements for 2.56s DRX cycle length for earth-moving LEO deployment.</w:t>
            </w:r>
          </w:p>
        </w:tc>
      </w:tr>
    </w:tbl>
    <w:p>
      <w:pPr>
        <w:overflowPunct w:val="0"/>
        <w:autoSpaceDE w:val="0"/>
        <w:autoSpaceDN w:val="0"/>
        <w:adjustRightInd w:val="0"/>
        <w:spacing w:before="120" w:after="120" w:line="360" w:lineRule="auto"/>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For 1Rx and 2Rx RedCap UEs, the requirements are same only the accuracy margin is different:</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3"/>
              <w:rPr>
                <w:lang w:eastAsia="sv-SE"/>
              </w:rPr>
            </w:pPr>
            <w:r>
              <w:rPr>
                <w:lang w:eastAsia="sv-SE"/>
              </w:rPr>
              <w:t>The 1 Rx RedCap UE for determining whether to perform SDT procedure defined in clause 5.27 [7] applies:</w:t>
            </w:r>
          </w:p>
          <w:p>
            <w:pPr>
              <w:pStyle w:val="53"/>
              <w:overflowPunct w:val="0"/>
              <w:autoSpaceDE w:val="0"/>
              <w:autoSpaceDN w:val="0"/>
              <w:adjustRightInd w:val="0"/>
              <w:spacing w:before="120" w:after="120" w:line="360" w:lineRule="auto"/>
              <w:jc w:val="both"/>
              <w:textAlignment w:val="baseline"/>
              <w:rPr>
                <w:lang w:eastAsia="sv-SE"/>
              </w:rPr>
            </w:pPr>
            <w:r>
              <w:t>-</w:t>
            </w:r>
            <w:r>
              <w:tab/>
            </w:r>
            <w:r>
              <w:t xml:space="preserve">sdt-RSRP-Threshold-r17 </w:t>
            </w:r>
            <w:r>
              <w:rPr>
                <w:lang w:eastAsia="sv-SE"/>
              </w:rPr>
              <w:t xml:space="preserve">as the signaled value of </w:t>
            </w:r>
            <w:r>
              <w:t xml:space="preserve">sdt-RSRP-Threshold-r17 </w:t>
            </w:r>
            <w:r>
              <w:rPr>
                <w:lang w:eastAsia="sv-SE"/>
              </w:rPr>
              <w:t xml:space="preserve">[2] + </w:t>
            </w:r>
            <w:r>
              <w:rPr>
                <w:highlight w:val="yellow"/>
                <w:lang w:eastAsia="sv-SE"/>
              </w:rPr>
              <w:t xml:space="preserve">1 </w:t>
            </w:r>
            <w:r>
              <w:rPr>
                <w:lang w:eastAsia="sv-SE"/>
              </w:rPr>
              <w:t>dB.</w:t>
            </w:r>
          </w:p>
          <w:p>
            <w:pPr>
              <w:pStyle w:val="53"/>
              <w:overflowPunct w:val="0"/>
              <w:autoSpaceDE w:val="0"/>
              <w:autoSpaceDN w:val="0"/>
              <w:adjustRightInd w:val="0"/>
              <w:spacing w:before="120" w:after="120" w:line="360" w:lineRule="auto"/>
              <w:jc w:val="both"/>
              <w:textAlignment w:val="baseline"/>
              <w:rPr>
                <w:rFonts w:hint="default"/>
                <w:lang w:val="en-US" w:eastAsia="zh-CN"/>
              </w:rPr>
            </w:pPr>
            <w:r>
              <w:rPr>
                <w:rFonts w:eastAsia="等线"/>
                <w:i/>
                <w:highlight w:val="yellow"/>
                <w:lang w:eastAsia="zh-CN"/>
              </w:rPr>
              <w:t>sdt-RSRP-Threshold</w:t>
            </w:r>
            <w:r>
              <w:rPr>
                <w:rFonts w:eastAsia="等线"/>
                <w:lang w:eastAsia="zh-CN"/>
              </w:rPr>
              <w:t>: RSRP threshold for UE to determine whether to perform SDT procedure initiated</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default" w:eastAsia="宋体" w:cs="Times New Roman"/>
          <w:b w:val="0"/>
          <w:bCs w:val="0"/>
          <w:sz w:val="20"/>
          <w:lang w:val="en-US" w:eastAsia="zh-CN"/>
        </w:rPr>
      </w:pPr>
      <w:r>
        <w:rPr>
          <w:rFonts w:hint="eastAsia" w:eastAsia="宋体" w:cs="Times New Roman"/>
          <w:b w:val="0"/>
          <w:bCs w:val="0"/>
          <w:sz w:val="20"/>
          <w:lang w:val="en-US" w:eastAsia="zh-CN"/>
        </w:rPr>
        <w:t>We shall also reuse the margin as legacy.</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lang w:val="en-US" w:eastAsia="zh-CN"/>
        </w:rPr>
      </w:pPr>
      <w:r>
        <w:rPr>
          <w:rFonts w:hint="eastAsia" w:eastAsia="宋体" w:cs="Times New Roman"/>
          <w:b/>
          <w:bCs/>
          <w:sz w:val="20"/>
          <w:lang w:val="en-US" w:eastAsia="zh-CN"/>
        </w:rPr>
        <w:t>Observation 9: T</w:t>
      </w:r>
      <w:r>
        <w:rPr>
          <w:b/>
          <w:bCs/>
        </w:rPr>
        <w:t>he UE is allowed to transmit using the configured uplink resources provided that the UE is synchronized towards the serving cell prior to transmission</w:t>
      </w:r>
      <w:r>
        <w:rPr>
          <w:rFonts w:hint="eastAsia" w:eastAsia="宋体"/>
          <w:b/>
          <w:bCs/>
          <w:lang w:val="en-US" w:eastAsia="zh-CN"/>
        </w:rPr>
        <w:t>.</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b/>
          <w:bCs/>
          <w:lang w:val="en-US" w:eastAsia="zh-CN"/>
        </w:rPr>
      </w:pPr>
      <w:r>
        <w:rPr>
          <w:rFonts w:hint="eastAsia" w:eastAsia="宋体"/>
          <w:b/>
          <w:bCs/>
          <w:lang w:val="en-US" w:eastAsia="zh-CN"/>
        </w:rPr>
        <w:t xml:space="preserve">Observation 10: </w:t>
      </w:r>
      <w:r>
        <w:rPr>
          <w:rFonts w:hint="eastAsia" w:eastAsia="宋体" w:cs="Times New Roman"/>
          <w:b/>
          <w:bCs/>
          <w:sz w:val="20"/>
          <w:lang w:val="en-US" w:eastAsia="zh-CN"/>
        </w:rPr>
        <w:t>For 1Rx and 2Rx RedCap UEs, the requirements are same only the accuracy margin is different.</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Observation 11: Based on RAN2</w:t>
      </w:r>
      <w:r>
        <w:rPr>
          <w:rFonts w:hint="default" w:eastAsia="宋体" w:cs="Times New Roman"/>
          <w:b/>
          <w:bCs/>
          <w:sz w:val="20"/>
          <w:lang w:val="en-US" w:eastAsia="zh-CN"/>
        </w:rPr>
        <w:t>’</w:t>
      </w:r>
      <w:r>
        <w:rPr>
          <w:rFonts w:hint="eastAsia" w:eastAsia="宋体" w:cs="Times New Roman"/>
          <w:b/>
          <w:bCs/>
          <w:sz w:val="20"/>
          <w:lang w:val="en-US" w:eastAsia="zh-CN"/>
        </w:rPr>
        <w:t>s understanding,  the threshold of RSRP change can be up to 34dB.</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lang w:val="en-US" w:eastAsia="zh-CN"/>
        </w:rPr>
      </w:pPr>
      <w:r>
        <w:rPr>
          <w:rFonts w:hint="eastAsia" w:eastAsia="宋体" w:cs="Times New Roman"/>
          <w:b/>
          <w:bCs/>
          <w:sz w:val="20"/>
          <w:lang w:val="en-US" w:eastAsia="zh-CN"/>
        </w:rPr>
        <w:t>Proposal 11: CG-SDT shall be used for RedCap UEs in NTN whatever it</w:t>
      </w:r>
      <w:r>
        <w:rPr>
          <w:rFonts w:hint="default" w:eastAsia="宋体" w:cs="Times New Roman"/>
          <w:b/>
          <w:bCs/>
          <w:sz w:val="20"/>
          <w:lang w:val="en-US" w:eastAsia="zh-CN"/>
        </w:rPr>
        <w:t>’</w:t>
      </w:r>
      <w:r>
        <w:rPr>
          <w:rFonts w:hint="eastAsia" w:eastAsia="宋体" w:cs="Times New Roman"/>
          <w:b/>
          <w:bCs/>
          <w:sz w:val="20"/>
          <w:lang w:val="en-US" w:eastAsia="zh-CN"/>
        </w:rPr>
        <w:t>s the GSO or NGSO for 1Rx and 2Rx RedCap UEs, and the requirements can be:</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7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6"/>
              <w:rPr>
                <w:i/>
                <w:iCs/>
                <w:lang w:val="fr-FR"/>
              </w:rPr>
            </w:pPr>
            <w:r>
              <w:rPr>
                <w:lang w:val="fr-FR"/>
              </w:rPr>
              <w:t>Measurement</w:t>
            </w:r>
          </w:p>
        </w:tc>
        <w:tc>
          <w:tcPr>
            <w:tcW w:w="7791" w:type="dxa"/>
          </w:tcPr>
          <w:p>
            <w:pPr>
              <w:pStyle w:val="46"/>
              <w:rPr>
                <w:i/>
                <w:iCs/>
                <w:lang w:val="fr-FR"/>
              </w:rPr>
            </w:pPr>
            <w:r>
              <w:rPr>
                <w:lang w:val="fr-FR"/>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7"/>
              <w:rPr>
                <w:i/>
                <w:iCs/>
                <w:lang w:val="fr-FR"/>
              </w:rPr>
            </w:pPr>
            <w:r>
              <w:rPr>
                <w:lang w:val="fr-FR"/>
              </w:rPr>
              <w:t>RSRP</w:t>
            </w:r>
            <w:r>
              <w:rPr>
                <w:vertAlign w:val="subscript"/>
                <w:lang w:val="fr-FR"/>
              </w:rPr>
              <w:t>1</w:t>
            </w:r>
          </w:p>
        </w:tc>
        <w:tc>
          <w:tcPr>
            <w:tcW w:w="7791" w:type="dxa"/>
          </w:tcPr>
          <w:p>
            <w:pPr>
              <w:pStyle w:val="47"/>
              <w:rPr>
                <w:i/>
                <w:iCs/>
                <w:lang w:val="fr-FR"/>
              </w:rPr>
            </w:pPr>
            <w:r>
              <w:rPr>
                <w:lang w:val="fr-FR"/>
              </w:rPr>
              <w:t>(T1 – min(</w:t>
            </w:r>
            <w:r>
              <w:rPr>
                <w:rFonts w:hint="eastAsia" w:eastAsia="宋体"/>
                <w:highlight w:val="yellow"/>
                <w:lang w:val="en-US" w:eastAsia="zh-CN"/>
              </w:rPr>
              <w:t>800</w:t>
            </w:r>
            <w:r>
              <w:rPr>
                <w:highlight w:val="yellow"/>
                <w:lang w:val="fr-FR"/>
              </w:rPr>
              <w:t>ms</w:t>
            </w:r>
            <w:r>
              <w:rPr>
                <w:lang w:val="fr-FR"/>
              </w:rPr>
              <w:t>, M1*T</w:t>
            </w:r>
            <w:r>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w:t>
            </w:r>
            <w:r>
              <w:rPr>
                <w:rFonts w:hint="eastAsia" w:eastAsia="宋体"/>
                <w:highlight w:val="yellow"/>
                <w:lang w:val="en-US" w:eastAsia="zh-CN"/>
              </w:rPr>
              <w:t>800</w:t>
            </w:r>
            <w:r>
              <w:rPr>
                <w:highlight w:val="yellow"/>
                <w:lang w:val="fr-FR"/>
              </w:rPr>
              <w:t>ms</w:t>
            </w:r>
            <w:r>
              <w:rPr>
                <w:lang w:val="fr-FR"/>
              </w:rPr>
              <w:t>, M1*T</w:t>
            </w:r>
            <w:r>
              <w:rPr>
                <w:vertAlign w:val="subscript"/>
                <w:lang w:val="fr-FR"/>
              </w:rPr>
              <w:t>DRX</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tcPr>
          <w:p>
            <w:pPr>
              <w:pStyle w:val="47"/>
              <w:rPr>
                <w:i/>
                <w:iCs/>
                <w:lang w:val="fr-FR"/>
              </w:rPr>
            </w:pPr>
            <w:r>
              <w:rPr>
                <w:lang w:val="fr-FR"/>
              </w:rPr>
              <w:t>RSRP</w:t>
            </w:r>
            <w:r>
              <w:rPr>
                <w:vertAlign w:val="subscript"/>
                <w:lang w:val="fr-FR"/>
              </w:rPr>
              <w:t>2</w:t>
            </w:r>
          </w:p>
        </w:tc>
        <w:tc>
          <w:tcPr>
            <w:tcW w:w="7791" w:type="dxa"/>
          </w:tcPr>
          <w:p>
            <w:pPr>
              <w:pStyle w:val="47"/>
              <w:rPr>
                <w:i/>
                <w:iCs/>
                <w:lang w:val="fr-FR"/>
              </w:rPr>
            </w:pPr>
            <w:r>
              <w:rPr>
                <w:lang w:val="fr-FR"/>
              </w:rPr>
              <w:t>(T2 – min(</w:t>
            </w:r>
            <w:r>
              <w:rPr>
                <w:rFonts w:hint="eastAsia" w:eastAsia="宋体"/>
                <w:highlight w:val="yellow"/>
                <w:lang w:val="en-US" w:eastAsia="zh-CN"/>
              </w:rPr>
              <w:t>800</w:t>
            </w:r>
            <w:r>
              <w:rPr>
                <w:highlight w:val="yellow"/>
                <w:lang w:val="fr-FR"/>
              </w:rPr>
              <w:t>ms</w:t>
            </w:r>
            <w:r>
              <w:rPr>
                <w:lang w:val="fr-FR"/>
              </w:rPr>
              <w:t>, M1*T</w:t>
            </w:r>
            <w:r>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Pr>
          <w:p>
            <w:pPr>
              <w:pStyle w:val="47"/>
              <w:jc w:val="both"/>
              <w:rPr>
                <w:rFonts w:hint="default" w:eastAsia="宋体"/>
                <w:lang w:val="en-US" w:eastAsia="zh-CN"/>
              </w:rPr>
            </w:pPr>
            <w:r>
              <w:rPr>
                <w:rFonts w:hint="eastAsia" w:eastAsia="宋体"/>
                <w:lang w:val="en-US" w:eastAsia="zh-CN"/>
              </w:rPr>
              <w:t xml:space="preserve">Note: </w:t>
            </w:r>
            <w:r>
              <w:rPr>
                <w:rFonts w:ascii="Arial" w:hAnsi="Arial"/>
                <w:sz w:val="18"/>
                <w:lang w:eastAsia="zh-CN"/>
              </w:rPr>
              <w:t>The UE is not required to meet the requirements for 2.56s DRX cycle length for earth-moving LEO deployment.</w:t>
            </w:r>
          </w:p>
        </w:tc>
      </w:tr>
    </w:tbl>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Proposal 12: Compared to 2Rx UE, extra 1dB margin shall be needed for 1Rx RedCap UEs.</w:t>
      </w:r>
    </w:p>
    <w:p>
      <w:pPr>
        <w:pStyle w:val="7"/>
        <w:overflowPunct w:val="0"/>
        <w:autoSpaceDE w:val="0"/>
        <w:autoSpaceDN w:val="0"/>
        <w:adjustRightInd w:val="0"/>
        <w:spacing w:before="120" w:after="120" w:line="360" w:lineRule="auto"/>
        <w:jc w:val="both"/>
        <w:textAlignment w:val="baseline"/>
        <w:rPr>
          <w:rFonts w:hint="eastAsia" w:eastAsia="Times New Roman" w:cs="Times New Roman"/>
          <w:b w:val="0"/>
          <w:bCs w:val="0"/>
          <w:sz w:val="20"/>
          <w:lang w:val="en-US" w:eastAsia="zh-CN"/>
        </w:rPr>
      </w:pPr>
      <w:r>
        <w:rPr>
          <w:rFonts w:hint="eastAsia" w:eastAsia="Times New Roman" w:cs="Times New Roman"/>
          <w:b w:val="0"/>
          <w:bCs w:val="0"/>
          <w:sz w:val="20"/>
          <w:lang w:val="en-US" w:eastAsia="zh-CN"/>
        </w:rPr>
        <w:t>2.1.</w:t>
      </w:r>
      <w:r>
        <w:rPr>
          <w:rFonts w:hint="eastAsia" w:cs="Times New Roman"/>
          <w:b w:val="0"/>
          <w:bCs w:val="0"/>
          <w:sz w:val="20"/>
          <w:lang w:val="en-US" w:eastAsia="zh-CN"/>
        </w:rPr>
        <w:t>1</w:t>
      </w:r>
      <w:r>
        <w:rPr>
          <w:rFonts w:hint="eastAsia" w:eastAsia="Times New Roman" w:cs="Times New Roman"/>
          <w:b w:val="0"/>
          <w:bCs w:val="0"/>
          <w:sz w:val="20"/>
          <w:lang w:val="en-US" w:eastAsia="zh-CN"/>
        </w:rPr>
        <w:t>.1.3.2 Random access based Small Data Transmission (RA-SDT)</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cs="Times New Roman"/>
          <w:b w:val="0"/>
          <w:bCs w:val="0"/>
          <w:sz w:val="20"/>
          <w:lang w:val="en-US" w:eastAsia="zh-CN"/>
        </w:rPr>
      </w:pPr>
      <w:r>
        <w:rPr>
          <w:rFonts w:hint="eastAsia" w:eastAsia="宋体" w:cs="Times New Roman"/>
          <w:b w:val="0"/>
          <w:bCs w:val="0"/>
          <w:sz w:val="20"/>
          <w:lang w:val="en-US" w:eastAsia="zh-CN"/>
        </w:rPr>
        <w:t>For random access based small data transmission, we find the legacy SDT requirements is the same as the legacy RA requirements for 1Rx and 2Rx UEs. Compared to 2Rx UE, extra 1dB margin shall be needed for 1Rx RedCap UEs. Thus, if the random access for 2Rx and 1Rx RedCap requirements are defined, the RA based SDT requirements shall be reused. And the accuracy margin for 1Rx can be reused.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Observation 12: The legacy SDT requirements is the same as the legacy RA requirements for 1Rx and 2Rx UEs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Proposal 13: If the random access for 2Rx and 1Rx RedCap requirements are defined, the RA based SDT requirements shall be reused. The extra 1dB accuracy margin for 1Rx can be reused.</w:t>
      </w:r>
    </w:p>
    <w:p>
      <w:pPr>
        <w:pStyle w:val="5"/>
        <w:overflowPunct w:val="0"/>
        <w:autoSpaceDE w:val="0"/>
        <w:autoSpaceDN w:val="0"/>
        <w:adjustRightInd w:val="0"/>
        <w:spacing w:before="120" w:after="120" w:line="360" w:lineRule="auto"/>
        <w:jc w:val="both"/>
        <w:textAlignment w:val="baseline"/>
        <w:rPr>
          <w:rFonts w:hint="eastAsia"/>
          <w:sz w:val="24"/>
          <w:szCs w:val="20"/>
          <w:lang w:val="en-US" w:eastAsia="zh-CN"/>
        </w:rPr>
      </w:pPr>
      <w:r>
        <w:rPr>
          <w:rFonts w:hint="eastAsia"/>
          <w:sz w:val="24"/>
          <w:szCs w:val="20"/>
          <w:lang w:val="en-US" w:eastAsia="zh-CN"/>
        </w:rPr>
        <w:t>2.1.1.2 Potential impact on RRM requirements for RedCap UE (HD-FDD UE)</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cs="Times New Roman"/>
          <w:sz w:val="20"/>
          <w:szCs w:val="20"/>
          <w:lang w:val="en-US" w:eastAsia="zh-CN"/>
        </w:rPr>
        <w:t xml:space="preserve">The second feature is half-duplex FDD operation. Compared to FD-FDD UE, </w:t>
      </w:r>
      <w:r>
        <w:rPr>
          <w:rFonts w:hint="eastAsia" w:eastAsia="宋体"/>
          <w:sz w:val="20"/>
          <w:szCs w:val="20"/>
          <w:lang w:val="en-US" w:eastAsia="zh-CN"/>
        </w:rPr>
        <w:t>HD-FDD operates by using separate frequency bands for uplink and downlink communication, but with a UE only being able to either transmit or receive at any given time – not both simultaneously. In RedCap WI, they discussed the several requirements for HD-FDD UE and define lots of applicable conditions not the new requirements. We can see the handover requirements as below:</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tcPr>
          <w:p>
            <w:pPr>
              <w:spacing w:before="156" w:beforeLines="5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Handover:</w:t>
            </w:r>
          </w:p>
          <w:p>
            <w:pPr>
              <w:spacing w:before="156" w:beforeLines="50"/>
              <w:rPr>
                <w:rFonts w:ascii="Times New Roman" w:hAnsi="Times New Roman" w:cs="Times New Roman"/>
                <w:lang w:val="en-GB"/>
              </w:rPr>
            </w:pPr>
            <w:r>
              <w:rPr>
                <w:rFonts w:ascii="Times New Roman" w:hAnsi="Times New Roman" w:cs="Times New Roman"/>
                <w:lang w:val="en-GB"/>
              </w:rPr>
              <w:t>Legacy RedCap HD-UE：</w:t>
            </w:r>
          </w:p>
          <w:p>
            <w:pPr>
              <w:rPr>
                <w:rFonts w:ascii="Times New Roman" w:hAnsi="Times New Roman" w:cs="Times New Roman"/>
              </w:rPr>
            </w:pPr>
            <w:r>
              <w:rPr>
                <w:rFonts w:ascii="Times New Roman" w:hAnsi="Times New Roman" w:cs="Times New Roman"/>
              </w:rPr>
              <w:t xml:space="preserve">For RedCap UE with HD-FDD, the handover requirements are met provided that </w:t>
            </w:r>
          </w:p>
          <w:p>
            <w:pPr>
              <w:pStyle w:val="53"/>
            </w:pPr>
            <w:r>
              <w:rPr>
                <w:lang w:eastAsia="ko-KR"/>
              </w:rPr>
              <w:t>-</w:t>
            </w:r>
            <w:r>
              <w:rPr>
                <w:lang w:eastAsia="ko-KR"/>
              </w:rPr>
              <w:tab/>
            </w:r>
            <w:r>
              <w:t xml:space="preserve">SSB is available </w:t>
            </w:r>
            <w:r>
              <w:rPr>
                <w:lang w:eastAsia="sv-SE"/>
              </w:rPr>
              <w:t xml:space="preserve">at the UE once every SMTC period during </w:t>
            </w:r>
            <w:r>
              <w:t>T</w:t>
            </w:r>
            <w:r>
              <w:rPr>
                <w:vertAlign w:val="subscript"/>
              </w:rPr>
              <w:t>search</w:t>
            </w:r>
          </w:p>
          <w:p>
            <w:pPr>
              <w:pStyle w:val="53"/>
            </w:pPr>
            <w:r>
              <w:rPr>
                <w:lang w:eastAsia="ko-KR"/>
              </w:rPr>
              <w:t>-</w:t>
            </w:r>
            <w:r>
              <w:rPr>
                <w:lang w:eastAsia="ko-KR"/>
              </w:rPr>
              <w:tab/>
            </w:r>
            <w:r>
              <w:t>One SSB is available during T</w:t>
            </w:r>
            <w:r>
              <w:rPr>
                <w:vertAlign w:val="subscript"/>
              </w:rPr>
              <w:t>∆</w:t>
            </w:r>
          </w:p>
          <w:p>
            <w:pPr>
              <w:pStyle w:val="53"/>
            </w:pPr>
            <w:r>
              <w:rPr>
                <w:lang w:eastAsia="ko-KR"/>
              </w:rPr>
              <w:t>-</w:t>
            </w:r>
            <w:r>
              <w:rPr>
                <w:lang w:eastAsia="ko-KR"/>
              </w:rPr>
              <w:tab/>
            </w:r>
            <w:r>
              <w:t>One SSB is available during T</w:t>
            </w:r>
            <w:r>
              <w:rPr>
                <w:vertAlign w:val="subscript"/>
              </w:rPr>
              <w:t>IU.</w:t>
            </w:r>
          </w:p>
        </w:tc>
      </w:tr>
    </w:tbl>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sz w:val="20"/>
          <w:szCs w:val="20"/>
          <w:lang w:val="en-US" w:eastAsia="zh-CN"/>
        </w:rPr>
        <w:t>We find that the legacy handover requirements can be met for HD-FDD UE, however, the measurement applicable conditions may be defined for HD-FDD operation. Thus, when we considering defining the requirements for RedCap HD-FDD UE in NTN scenario, the legacy requirements can be the baseline and the applicable condition can refer to the legacy conditions.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lang w:val="en-US" w:eastAsia="zh-CN"/>
        </w:rPr>
      </w:pPr>
      <w:r>
        <w:rPr>
          <w:rFonts w:hint="eastAsia" w:eastAsia="宋体" w:cs="Times New Roman"/>
          <w:b/>
          <w:bCs/>
          <w:sz w:val="20"/>
          <w:lang w:val="en-US" w:eastAsia="zh-CN"/>
        </w:rPr>
        <w:t xml:space="preserve">Proposal 14: The legacy requirements and applicable conditions can be as baseline for defining requirements of RedCap UE in NTN scenario. </w:t>
      </w:r>
    </w:p>
    <w:p>
      <w:pPr>
        <w:pStyle w:val="5"/>
        <w:keepNext w:val="0"/>
        <w:keepLines w:val="0"/>
        <w:pageBreakBefore w:val="0"/>
        <w:widowControl/>
        <w:kinsoku/>
        <w:wordWrap/>
        <w:overflowPunct w:val="0"/>
        <w:topLinePunct w:val="0"/>
        <w:autoSpaceDE w:val="0"/>
        <w:autoSpaceDN w:val="0"/>
        <w:bidi w:val="0"/>
        <w:adjustRightInd w:val="0"/>
        <w:snapToGrid/>
        <w:spacing w:before="240" w:after="120" w:line="360" w:lineRule="auto"/>
        <w:ind w:left="1417" w:hanging="1417"/>
        <w:jc w:val="both"/>
        <w:textAlignment w:val="baseline"/>
        <w:rPr>
          <w:rFonts w:hint="default"/>
          <w:sz w:val="24"/>
          <w:szCs w:val="20"/>
          <w:lang w:val="en-US" w:eastAsia="zh-CN"/>
        </w:rPr>
      </w:pPr>
      <w:r>
        <w:rPr>
          <w:rFonts w:hint="eastAsia"/>
          <w:sz w:val="24"/>
          <w:szCs w:val="20"/>
          <w:lang w:val="en-US" w:eastAsia="zh-CN"/>
        </w:rPr>
        <w:t>2.1.1.3 Other features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For this section, RAN4 is still discussing whether to consider or not on:</w:t>
      </w:r>
    </w:p>
    <w:p>
      <w:pPr>
        <w:keepNext w:val="0"/>
        <w:keepLines w:val="0"/>
        <w:pageBreakBefore w:val="0"/>
        <w:widowControl/>
        <w:numPr>
          <w:ilvl w:val="0"/>
          <w:numId w:val="9"/>
        </w:numPr>
        <w:kinsoku/>
        <w:wordWrap/>
        <w:overflowPunct w:val="0"/>
        <w:topLinePunct w:val="0"/>
        <w:autoSpaceDE w:val="0"/>
        <w:autoSpaceDN w:val="0"/>
        <w:bidi w:val="0"/>
        <w:adjustRightInd w:val="0"/>
        <w:snapToGrid/>
        <w:spacing w:before="120" w:after="120" w:line="240" w:lineRule="auto"/>
        <w:ind w:left="420" w:leftChars="0" w:hanging="420" w:firstLineChars="0"/>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eDRX for LEO</w:t>
      </w:r>
    </w:p>
    <w:p>
      <w:pPr>
        <w:keepNext w:val="0"/>
        <w:keepLines w:val="0"/>
        <w:pageBreakBefore w:val="0"/>
        <w:widowControl/>
        <w:numPr>
          <w:ilvl w:val="0"/>
          <w:numId w:val="9"/>
        </w:numPr>
        <w:kinsoku/>
        <w:wordWrap/>
        <w:overflowPunct w:val="0"/>
        <w:topLinePunct w:val="0"/>
        <w:autoSpaceDE w:val="0"/>
        <w:autoSpaceDN w:val="0"/>
        <w:bidi w:val="0"/>
        <w:adjustRightInd w:val="0"/>
        <w:snapToGrid/>
        <w:spacing w:before="120" w:after="120" w:line="240" w:lineRule="auto"/>
        <w:ind w:left="420" w:leftChars="0" w:hanging="420" w:firstLineChars="0"/>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Relaxation measurement in Idle/Inactive state</w:t>
      </w:r>
    </w:p>
    <w:p>
      <w:pPr>
        <w:keepNext w:val="0"/>
        <w:keepLines w:val="0"/>
        <w:pageBreakBefore w:val="0"/>
        <w:widowControl/>
        <w:numPr>
          <w:ilvl w:val="0"/>
          <w:numId w:val="9"/>
        </w:numPr>
        <w:kinsoku/>
        <w:wordWrap/>
        <w:overflowPunct w:val="0"/>
        <w:topLinePunct w:val="0"/>
        <w:autoSpaceDE w:val="0"/>
        <w:autoSpaceDN w:val="0"/>
        <w:bidi w:val="0"/>
        <w:adjustRightInd w:val="0"/>
        <w:snapToGrid/>
        <w:spacing w:before="120" w:after="120" w:line="240" w:lineRule="auto"/>
        <w:ind w:left="420" w:leftChars="0" w:hanging="420" w:firstLineChars="0"/>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Concurrent gap</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We will study the above features one by one in following contents.</w:t>
      </w:r>
    </w:p>
    <w:p>
      <w:pPr>
        <w:pStyle w:val="7"/>
        <w:keepNext w:val="0"/>
        <w:keepLines w:val="0"/>
        <w:pageBreakBefore w:val="0"/>
        <w:widowControl/>
        <w:kinsoku/>
        <w:wordWrap/>
        <w:overflowPunct w:val="0"/>
        <w:topLinePunct w:val="0"/>
        <w:autoSpaceDE w:val="0"/>
        <w:autoSpaceDN w:val="0"/>
        <w:bidi w:val="0"/>
        <w:adjustRightInd w:val="0"/>
        <w:snapToGrid/>
        <w:spacing w:before="240" w:after="120" w:line="360" w:lineRule="auto"/>
        <w:ind w:left="1984" w:hanging="1984"/>
        <w:jc w:val="both"/>
        <w:textAlignment w:val="baseline"/>
        <w:rPr>
          <w:rFonts w:hint="default" w:eastAsia="Times New Roman" w:cs="Times New Roman"/>
          <w:b w:val="0"/>
          <w:bCs w:val="0"/>
          <w:sz w:val="20"/>
          <w:lang w:val="en-US" w:eastAsia="zh-CN"/>
        </w:rPr>
      </w:pPr>
      <w:r>
        <w:rPr>
          <w:rFonts w:hint="eastAsia" w:eastAsia="Times New Roman" w:cs="Times New Roman"/>
          <w:b w:val="0"/>
          <w:bCs w:val="0"/>
          <w:sz w:val="20"/>
          <w:lang w:val="en-US" w:eastAsia="zh-CN"/>
        </w:rPr>
        <w:t>2.1.1.3.1 eDRX for LEO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In the last meeting, for eDRX configuration RAN4 reached the following agreements:</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4"/>
              <w:numPr>
                <w:ilvl w:val="2"/>
                <w:numId w:val="10"/>
              </w:numPr>
              <w:snapToGrid w:val="0"/>
              <w:spacing w:after="120"/>
              <w:ind w:hanging="357"/>
              <w:rPr>
                <w:highlight w:val="green"/>
              </w:rPr>
            </w:pPr>
            <w:r>
              <w:rPr>
                <w:b/>
                <w:szCs w:val="24"/>
                <w:highlight w:val="green"/>
                <w:lang w:eastAsia="zh-CN"/>
              </w:rPr>
              <w:t>&lt; Agreement &gt;</w:t>
            </w:r>
            <w:r>
              <w:rPr>
                <w:rFonts w:hint="eastAsia"/>
                <w:b/>
                <w:szCs w:val="24"/>
                <w:highlight w:val="green"/>
                <w:lang w:val="en-US" w:eastAsia="zh-CN"/>
              </w:rPr>
              <w:t>:</w:t>
            </w:r>
          </w:p>
          <w:p>
            <w:pPr>
              <w:pStyle w:val="74"/>
              <w:numPr>
                <w:ilvl w:val="2"/>
                <w:numId w:val="10"/>
              </w:numPr>
              <w:snapToGrid w:val="0"/>
              <w:spacing w:after="0"/>
              <w:ind w:hanging="357"/>
              <w:contextualSpacing w:val="0"/>
              <w:rPr>
                <w:szCs w:val="21"/>
                <w:highlight w:val="none"/>
              </w:rPr>
            </w:pPr>
            <w:r>
              <w:rPr>
                <w:szCs w:val="21"/>
                <w:highlight w:val="none"/>
              </w:rPr>
              <w:t>For earth-moving LEO scenario:</w:t>
            </w:r>
          </w:p>
          <w:p>
            <w:pPr>
              <w:pStyle w:val="74"/>
              <w:numPr>
                <w:ilvl w:val="2"/>
                <w:numId w:val="10"/>
              </w:numPr>
              <w:snapToGrid w:val="0"/>
              <w:spacing w:after="0"/>
              <w:ind w:hanging="357"/>
              <w:contextualSpacing w:val="0"/>
              <w:rPr>
                <w:szCs w:val="21"/>
                <w:highlight w:val="none"/>
              </w:rPr>
            </w:pPr>
            <w:r>
              <w:rPr>
                <w:szCs w:val="21"/>
                <w:highlight w:val="none"/>
              </w:rPr>
              <w:t>All eDRX cycle cannot be applied for RedCap/eRedCap UEs in NTN and not to define requirements for eDRX in earth-moving beam LEO scenario.</w:t>
            </w:r>
          </w:p>
          <w:p>
            <w:pPr>
              <w:pStyle w:val="74"/>
              <w:numPr>
                <w:ilvl w:val="2"/>
                <w:numId w:val="10"/>
              </w:numPr>
              <w:snapToGrid w:val="0"/>
              <w:spacing w:after="0"/>
              <w:ind w:hanging="357"/>
              <w:contextualSpacing w:val="0"/>
              <w:rPr>
                <w:szCs w:val="21"/>
                <w:highlight w:val="none"/>
              </w:rPr>
            </w:pPr>
            <w:r>
              <w:rPr>
                <w:szCs w:val="21"/>
                <w:highlight w:val="none"/>
              </w:rPr>
              <w:t>For quasi-earth fixed LEO scenario:</w:t>
            </w:r>
          </w:p>
          <w:p>
            <w:pPr>
              <w:pStyle w:val="74"/>
              <w:numPr>
                <w:ilvl w:val="2"/>
                <w:numId w:val="10"/>
              </w:numPr>
              <w:snapToGrid w:val="0"/>
              <w:spacing w:after="0"/>
              <w:ind w:hanging="357"/>
              <w:contextualSpacing w:val="0"/>
              <w:rPr>
                <w:szCs w:val="21"/>
                <w:highlight w:val="none"/>
              </w:rPr>
            </w:pPr>
            <w:r>
              <w:rPr>
                <w:szCs w:val="21"/>
                <w:highlight w:val="none"/>
              </w:rPr>
              <w:t>Define eDRX related requirements in RRC_Idle / RRC_Inactive mode for (e)RedCap UE with FR1-NTN.</w:t>
            </w:r>
          </w:p>
          <w:p>
            <w:pPr>
              <w:pStyle w:val="74"/>
              <w:numPr>
                <w:ilvl w:val="2"/>
                <w:numId w:val="10"/>
              </w:numPr>
              <w:snapToGrid w:val="0"/>
              <w:ind w:hanging="357"/>
              <w:rPr>
                <w:szCs w:val="21"/>
                <w:highlight w:val="none"/>
              </w:rPr>
            </w:pPr>
            <w:r>
              <w:rPr>
                <w:szCs w:val="21"/>
                <w:highlight w:val="none"/>
              </w:rPr>
              <w:t>Requirements are applicable for 2.56s and 5.12s eDRX cycle</w:t>
            </w:r>
          </w:p>
          <w:p>
            <w:pPr>
              <w:pStyle w:val="74"/>
              <w:numPr>
                <w:ilvl w:val="2"/>
                <w:numId w:val="10"/>
              </w:numPr>
              <w:snapToGrid w:val="0"/>
              <w:ind w:hanging="357"/>
              <w:rPr>
                <w:rFonts w:hint="default" w:eastAsia="宋体" w:cs="Times New Roman"/>
                <w:b w:val="0"/>
                <w:bCs w:val="0"/>
                <w:sz w:val="20"/>
                <w:vertAlign w:val="baseline"/>
                <w:lang w:val="en-US" w:eastAsia="zh-CN"/>
              </w:rPr>
            </w:pPr>
            <w:r>
              <w:rPr>
                <w:szCs w:val="21"/>
                <w:highlight w:val="none"/>
              </w:rPr>
              <w:t>FFS for 10.24s eDRX cycle and larger than 10.24s eDRX cycle</w:t>
            </w:r>
          </w:p>
        </w:tc>
      </w:tr>
    </w:tbl>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val="0"/>
          <w:bCs w:val="0"/>
          <w:sz w:val="20"/>
          <w:lang w:val="en-US" w:eastAsia="zh-CN"/>
        </w:rPr>
      </w:pPr>
      <w:r>
        <w:rPr>
          <w:rFonts w:hint="eastAsia" w:eastAsia="宋体" w:cs="Times New Roman"/>
          <w:b w:val="0"/>
          <w:bCs w:val="0"/>
          <w:sz w:val="20"/>
          <w:lang w:val="en-US" w:eastAsia="zh-CN"/>
        </w:rPr>
        <w:t>For LEO quasi earth-fixed scenario,  we obtain the information that the LEO quasi earth-fixed serving time can be up to 10min based on the lowest evaluation angle LEO 30°. Some companies provide the other values like 5min,7min etc. Thus, the serving time may be from 5min to 10min. From my perspective, the eRDX could be configured for LEO quasi earth-fixed cell and the value can be up to 10.24s (T</w:t>
      </w:r>
      <w:r>
        <w:rPr>
          <w:rFonts w:hint="eastAsia" w:eastAsia="宋体" w:cs="Times New Roman"/>
          <w:b w:val="0"/>
          <w:bCs w:val="0"/>
          <w:sz w:val="20"/>
          <w:vertAlign w:val="subscript"/>
          <w:lang w:val="en-US" w:eastAsia="zh-CN"/>
        </w:rPr>
        <w:t>detect=</w:t>
      </w:r>
      <w:r>
        <w:rPr>
          <w:rFonts w:hint="eastAsia" w:eastAsia="宋体" w:cs="Times New Roman"/>
          <w:b w:val="0"/>
          <w:bCs w:val="0"/>
          <w:sz w:val="20"/>
          <w:lang w:val="en-US" w:eastAsia="zh-CN"/>
        </w:rPr>
        <w:t xml:space="preserve">235.52s). However, for inter-frequency NR cells, the number of inter-frequency carriers also needed to be considered, so some margin of measurement time shall be needed. If the eDRX value is defined as 10.24s and the network configures one carrier for inter-frequency measurement, the 10.24s is suitable. If eDRX value is defined as 10.24s and the network configures more than one carrier for inter-frequency measurement, 10.24s is not suitable since the Tdetect_inter_redcap could not be enough to cover more than one carrier measurement if considering the smallest serving time 5min.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lang w:val="en-US" w:eastAsia="zh-CN"/>
        </w:rPr>
      </w:pPr>
      <w:r>
        <w:rPr>
          <w:rFonts w:hint="eastAsia" w:eastAsia="宋体" w:cs="Times New Roman"/>
          <w:b/>
          <w:bCs/>
          <w:sz w:val="20"/>
          <w:lang w:val="en-US" w:eastAsia="zh-CN"/>
        </w:rPr>
        <w:t>Observation 13: The serving time may be from 5min to 10min for  LEO quasi earth-fixed cell.</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Observation 14: If consider more than one carrier for inter-frequency measurement, eDRX equals 10.24s could not be enough to cover more than one carrier measurement if considering the smallest serving time 5min.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Proposal 15: The eRDX could be configured for LEO quasi earth-fixed cell and the value can be up to 5.12s.</w:t>
      </w:r>
    </w:p>
    <w:p>
      <w:pPr>
        <w:pStyle w:val="7"/>
        <w:keepNext w:val="0"/>
        <w:keepLines w:val="0"/>
        <w:pageBreakBefore w:val="0"/>
        <w:widowControl/>
        <w:kinsoku/>
        <w:wordWrap/>
        <w:overflowPunct w:val="0"/>
        <w:topLinePunct w:val="0"/>
        <w:autoSpaceDE w:val="0"/>
        <w:autoSpaceDN w:val="0"/>
        <w:bidi w:val="0"/>
        <w:adjustRightInd w:val="0"/>
        <w:snapToGrid/>
        <w:spacing w:before="240" w:after="120" w:line="360" w:lineRule="auto"/>
        <w:ind w:left="1984" w:hanging="1984"/>
        <w:jc w:val="both"/>
        <w:textAlignment w:val="baseline"/>
        <w:rPr>
          <w:rFonts w:hint="default" w:eastAsia="Times New Roman" w:cs="Times New Roman"/>
          <w:b w:val="0"/>
          <w:bCs w:val="0"/>
          <w:sz w:val="20"/>
          <w:lang w:val="en-US" w:eastAsia="zh-CN"/>
        </w:rPr>
      </w:pPr>
      <w:r>
        <w:rPr>
          <w:rFonts w:hint="eastAsia" w:eastAsia="Times New Roman" w:cs="Times New Roman"/>
          <w:b w:val="0"/>
          <w:bCs w:val="0"/>
          <w:sz w:val="20"/>
          <w:lang w:val="en-US" w:eastAsia="zh-CN"/>
        </w:rPr>
        <w:t>2.1.1.3.</w:t>
      </w:r>
      <w:r>
        <w:rPr>
          <w:rFonts w:hint="eastAsia" w:cs="Times New Roman"/>
          <w:b w:val="0"/>
          <w:bCs w:val="0"/>
          <w:sz w:val="20"/>
          <w:lang w:val="en-US" w:eastAsia="zh-CN"/>
        </w:rPr>
        <w:t>2</w:t>
      </w:r>
      <w:r>
        <w:rPr>
          <w:rFonts w:hint="eastAsia" w:eastAsia="Times New Roman" w:cs="Times New Roman"/>
          <w:b w:val="0"/>
          <w:bCs w:val="0"/>
          <w:sz w:val="20"/>
          <w:lang w:val="en-US" w:eastAsia="zh-CN"/>
        </w:rPr>
        <w:t xml:space="preserve"> </w:t>
      </w:r>
      <w:r>
        <w:rPr>
          <w:rFonts w:hint="eastAsia" w:cs="Times New Roman"/>
          <w:b w:val="0"/>
          <w:bCs w:val="0"/>
          <w:sz w:val="20"/>
          <w:lang w:val="en-US" w:eastAsia="zh-CN"/>
        </w:rPr>
        <w:t>Relaxation measurement in Idle/Inactive state</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In the last meeting, RAN4 discussed the relaxation measurement for RedCap UE in FR1 NTN scenario and the following agreements can be seen:</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74"/>
              <w:numPr>
                <w:ilvl w:val="-1"/>
                <w:numId w:val="0"/>
              </w:numPr>
              <w:snapToGrid w:val="0"/>
              <w:spacing w:after="120"/>
              <w:ind w:left="0" w:firstLine="0"/>
              <w:rPr>
                <w:highlight w:val="green"/>
              </w:rPr>
            </w:pPr>
            <w:r>
              <w:rPr>
                <w:b/>
                <w:szCs w:val="24"/>
                <w:highlight w:val="green"/>
                <w:lang w:eastAsia="zh-CN"/>
              </w:rPr>
              <w:t>&lt; Agreement &gt;</w:t>
            </w:r>
            <w:r>
              <w:rPr>
                <w:rFonts w:hint="eastAsia"/>
                <w:b/>
                <w:szCs w:val="24"/>
                <w:highlight w:val="green"/>
                <w:lang w:val="en-US" w:eastAsia="zh-CN"/>
              </w:rPr>
              <w:t>:</w:t>
            </w:r>
          </w:p>
          <w:p>
            <w:pPr>
              <w:pStyle w:val="74"/>
              <w:numPr>
                <w:ilvl w:val="0"/>
                <w:numId w:val="10"/>
              </w:numPr>
              <w:spacing w:after="120"/>
              <w:contextualSpacing w:val="0"/>
              <w:rPr>
                <w:rFonts w:eastAsia="等线"/>
                <w:iCs/>
                <w:szCs w:val="21"/>
                <w:highlight w:val="none"/>
              </w:rPr>
            </w:pPr>
            <w:r>
              <w:rPr>
                <w:rFonts w:eastAsia="等线"/>
                <w:iCs/>
                <w:szCs w:val="21"/>
                <w:highlight w:val="none"/>
              </w:rPr>
              <w:t>For supported types of relaxations for (e)RedCap UE with FR1-NTN,</w:t>
            </w:r>
          </w:p>
          <w:p>
            <w:pPr>
              <w:pStyle w:val="74"/>
              <w:numPr>
                <w:ilvl w:val="2"/>
                <w:numId w:val="10"/>
              </w:numPr>
              <w:spacing w:after="120"/>
              <w:ind w:left="1830"/>
              <w:contextualSpacing w:val="0"/>
              <w:rPr>
                <w:iCs/>
                <w:szCs w:val="21"/>
                <w:highlight w:val="none"/>
              </w:rPr>
            </w:pPr>
            <w:r>
              <w:rPr>
                <w:iCs/>
                <w:szCs w:val="21"/>
                <w:highlight w:val="none"/>
              </w:rPr>
              <w:t>Only to support R17 NR NTN relaxations in GSO (corresponding to the TN R16 relaxation) for cell re</w:t>
            </w:r>
            <w:r>
              <w:rPr>
                <w:rFonts w:hint="eastAsia"/>
                <w:iCs/>
                <w:szCs w:val="21"/>
                <w:highlight w:val="none"/>
                <w:lang w:val="en-US" w:eastAsia="zh-CN"/>
              </w:rPr>
              <w:t>-</w:t>
            </w:r>
            <w:r>
              <w:rPr>
                <w:iCs/>
                <w:szCs w:val="21"/>
                <w:highlight w:val="none"/>
              </w:rPr>
              <w:t xml:space="preserve">selection. </w:t>
            </w:r>
          </w:p>
          <w:p>
            <w:pPr>
              <w:pStyle w:val="74"/>
              <w:numPr>
                <w:ilvl w:val="0"/>
                <w:numId w:val="10"/>
              </w:numPr>
              <w:spacing w:after="120"/>
              <w:contextualSpacing w:val="0"/>
              <w:rPr>
                <w:rFonts w:hint="default" w:eastAsia="宋体" w:cs="Times New Roman"/>
                <w:b w:val="0"/>
                <w:bCs w:val="0"/>
                <w:sz w:val="20"/>
                <w:vertAlign w:val="baseline"/>
                <w:lang w:val="en-US" w:eastAsia="zh-CN"/>
              </w:rPr>
            </w:pPr>
            <w:r>
              <w:rPr>
                <w:rFonts w:eastAsia="等线"/>
                <w:iCs/>
                <w:szCs w:val="21"/>
                <w:highlight w:val="none"/>
              </w:rPr>
              <w:t>RAN4 to further discuss the thresholds and specific relaxation factor.</w:t>
            </w:r>
          </w:p>
        </w:tc>
      </w:tr>
    </w:tbl>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lang w:val="en-US" w:eastAsia="zh-CN"/>
        </w:rPr>
      </w:pPr>
      <w:r>
        <w:rPr>
          <w:rFonts w:hint="eastAsia" w:eastAsia="宋体" w:cs="Times New Roman"/>
          <w:b w:val="0"/>
          <w:bCs w:val="0"/>
          <w:sz w:val="20"/>
          <w:lang w:val="en-US" w:eastAsia="zh-CN"/>
        </w:rPr>
        <w:t>In the last meeting, we just mentioned that low mobility criteria and stationary criteria could not be distinguished by UE since the change of RSRP is not obvious in NTN scenario because of near-far-effect, the following figure can be seen: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center"/>
        <w:textAlignment w:val="baseline"/>
        <w:rPr>
          <w:rFonts w:hint="default"/>
        </w:rPr>
      </w:pPr>
      <w:r>
        <w:rPr>
          <w:rFonts w:hint="default"/>
        </w:rPr>
        <w:object>
          <v:shape id="_x0000_i1025" o:spt="75" type="#_x0000_t75" style="height:93pt;width:157.55pt;" o:ole="t" filled="f" o:preferrelative="t" stroked="f" coordsize="21600,21600">
            <v:path/>
            <v:fill on="f" focussize="0,0"/>
            <v:stroke on="f"/>
            <v:imagedata r:id="rId10" o:title=""/>
            <o:lock v:ext="edit" aspectratio="t"/>
            <w10:wrap type="none"/>
            <w10:anchorlock/>
          </v:shape>
          <o:OLEObject Type="Embed" ProgID="Visio.Drawing.15" ShapeID="_x0000_i1025" DrawAspect="Content" ObjectID="_1468075725">
            <o:LockedField>false</o:LockedField>
          </o:OLEObject>
        </w:objec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center"/>
        <w:textAlignment w:val="baseline"/>
        <w:rPr>
          <w:rFonts w:hint="eastAsia" w:eastAsia="宋体"/>
          <w:lang w:val="en-US" w:eastAsia="zh-CN"/>
        </w:rPr>
      </w:pPr>
      <w:r>
        <w:rPr>
          <w:rFonts w:hint="eastAsia" w:eastAsia="宋体"/>
          <w:lang w:val="en-US" w:eastAsia="zh-CN"/>
        </w:rPr>
        <w:t>Figure NTN near-far-effect</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lang w:val="en-US" w:eastAsia="zh-CN"/>
        </w:rPr>
      </w:pPr>
      <w:r>
        <w:rPr>
          <w:rFonts w:hint="eastAsia" w:eastAsia="宋体"/>
          <w:lang w:val="en-US" w:eastAsia="zh-CN"/>
        </w:rPr>
        <w:t>Thus, we deem that the legacy relaxed criteria could be reused, that is, low mobility condition and not-at-cell edge condition could be reused (R16 criteria). For relaxation factor, we think if the legacy R16 criteria is used, the legacy scaling factor shall be considered, which K3=3 is enough for us.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lang w:val="en-US" w:eastAsia="zh-CN"/>
        </w:rPr>
      </w:pPr>
      <w:r>
        <w:rPr>
          <w:rFonts w:hint="eastAsia" w:eastAsia="宋体" w:cs="Times New Roman"/>
          <w:b/>
          <w:bCs/>
          <w:sz w:val="20"/>
          <w:lang w:val="en-US" w:eastAsia="zh-CN"/>
        </w:rPr>
        <w:t>Observation 14: Low mobility criteria and stationary criteria could not be distinguished by UE since the change of RSRP is not obvious in NTN scenario because of near-far-effect</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lang w:val="en-US" w:eastAsia="zh-CN"/>
        </w:rPr>
      </w:pPr>
      <w:r>
        <w:rPr>
          <w:rFonts w:hint="eastAsia" w:eastAsia="宋体" w:cs="Times New Roman"/>
          <w:b/>
          <w:bCs/>
          <w:sz w:val="20"/>
          <w:lang w:val="en-US" w:eastAsia="zh-CN"/>
        </w:rPr>
        <w:t>Proposal 16: For relaxed criteria, low mobility condition and not-at-cell edge condition could be reused (R16 criteria).</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Proposal 17: For relaxed scaling factor, the legacy scaling factor shall be reused (K3=3).</w:t>
      </w:r>
    </w:p>
    <w:p>
      <w:pPr>
        <w:pStyle w:val="78"/>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 xml:space="preserve">RRM requirements on R19 NR RedCap NTN </w:t>
      </w:r>
      <w:r>
        <w:rPr>
          <w:rFonts w:eastAsia="宋体"/>
          <w:lang w:eastAsia="zh-CN"/>
        </w:rPr>
        <w:t>.</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r>
        <w:rPr>
          <w:rFonts w:hint="eastAsia" w:eastAsia="宋体"/>
          <w:b/>
          <w:bCs/>
          <w:sz w:val="20"/>
          <w:szCs w:val="20"/>
          <w:lang w:val="en-US" w:eastAsia="zh-CN"/>
        </w:rPr>
        <w:t>Observation 1: RAN2 is discussing TN to NTN (LTE to NR) cell re-selection and there has been not RAN4 RRM impact so far.</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b/>
          <w:bCs/>
          <w:sz w:val="20"/>
          <w:szCs w:val="20"/>
          <w:lang w:val="en-US" w:eastAsia="zh-CN"/>
        </w:rPr>
      </w:pPr>
      <w:r>
        <w:rPr>
          <w:rFonts w:hint="eastAsia" w:eastAsia="宋体"/>
          <w:b/>
          <w:bCs/>
          <w:sz w:val="20"/>
          <w:szCs w:val="20"/>
          <w:lang w:val="en-US" w:eastAsia="zh-CN"/>
        </w:rPr>
        <w:t>Observation 2: RAN4 has already defined the inter-RAT and inter-frequency measurement requirements between TN and NTN in R18 NTN.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r>
        <w:rPr>
          <w:rFonts w:hint="eastAsia" w:eastAsia="宋体"/>
          <w:b/>
          <w:bCs/>
          <w:sz w:val="20"/>
          <w:szCs w:val="20"/>
          <w:lang w:val="en-US" w:eastAsia="zh-CN"/>
        </w:rPr>
        <w:t>Proposal 1: The measurement requirements for inter-frequency and inter-RAT measurement requirements in legacy NTN shall be reused for 2Rx and 1Rx RedCap UEs when considering TN to  NTN (NR-NR) and NTN to TN (NR-NR).</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b/>
          <w:bCs/>
          <w:sz w:val="20"/>
          <w:szCs w:val="20"/>
          <w:lang w:val="en-US" w:eastAsia="zh-CN"/>
        </w:rPr>
      </w:pPr>
      <w:r>
        <w:rPr>
          <w:rFonts w:hint="eastAsia" w:eastAsia="宋体"/>
          <w:b/>
          <w:bCs/>
          <w:sz w:val="20"/>
          <w:szCs w:val="20"/>
          <w:lang w:val="en-US" w:eastAsia="zh-CN"/>
        </w:rPr>
        <w:t>Proposal 2: For inter-RAT measurement, the orginal accuracy margin shall be maintained for 1Rx RedCap UE in NR NTN if the legacy requirements are reused.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sz w:val="20"/>
          <w:szCs w:val="20"/>
          <w:lang w:val="en-US" w:eastAsia="zh-CN"/>
        </w:rPr>
      </w:pPr>
      <w:r>
        <w:rPr>
          <w:rFonts w:hint="eastAsia" w:eastAsia="宋体"/>
          <w:b/>
          <w:bCs/>
          <w:sz w:val="20"/>
          <w:szCs w:val="20"/>
          <w:lang w:val="en-US" w:eastAsia="zh-CN"/>
        </w:rPr>
        <w:t>Proposal 3: The cell re-selection intra-frequency and inter-frequency measurement requirements in legacy NTN can be reused for 2Rx and 1Rx RedCap UEs when considering NTN to NTN cell re-selection.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3: RAN2 introduced the multiple SMTCs based on time and frequency difference in NTN in R17.</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b/>
          <w:bCs/>
          <w:lang w:val="en-US" w:eastAsia="zh-CN"/>
        </w:rPr>
      </w:pPr>
      <w:r>
        <w:rPr>
          <w:rFonts w:hint="eastAsia"/>
          <w:b/>
          <w:bCs/>
          <w:lang w:val="en-US" w:eastAsia="zh-CN"/>
        </w:rPr>
        <w:t>Proposal 4: Multiple SMTCs (2 SMTCs) shall be reused for RedCap UEs in NTN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4: The legacy NR NTN requirements and the legacy requirements for  2Rx RedCap UE are the same as legacy requirements. For 1Rx RedCap UE, the time period are relaxed.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5: RAN4 shall define time period of PSS/SSS detection and time index detection. The requirements for 1Rx and 2Rx RedCap UE in NTN scenario shall reuse the legacy RedCap requirements.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Observation 5：The measurement period requirements for legacy TN/ legacy RedCap UE/legacy NR NTN are same in TS 38.133.</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6: The RedCap UEs with 1Rx and 2Rx in NTN shall own the same measurement period requirements as legacy RedCap UE.</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 xml:space="preserve">Observation 6: The hard satellite switching delay will be impacted by reduced UE receiving branches.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cs="Times New Roman"/>
          <w:b/>
          <w:bCs/>
          <w:sz w:val="20"/>
          <w:szCs w:val="20"/>
          <w:lang w:val="en-US" w:eastAsia="zh-CN"/>
        </w:rPr>
        <w:t xml:space="preserve">Proposal 7: </w:t>
      </w:r>
      <w:r>
        <w:rPr>
          <w:rFonts w:hint="eastAsia" w:eastAsia="宋体"/>
          <w:b/>
          <w:bCs/>
          <w:sz w:val="20"/>
          <w:szCs w:val="20"/>
          <w:lang w:val="en-US" w:eastAsia="zh-CN"/>
        </w:rPr>
        <w:t xml:space="preserve">Considering hard satellite switching delay, </w:t>
      </w:r>
      <w:r>
        <w:rPr>
          <w:rFonts w:hint="eastAsia" w:eastAsia="宋体" w:cs="Times New Roman"/>
          <w:b/>
          <w:bCs/>
          <w:sz w:val="20"/>
          <w:szCs w:val="20"/>
          <w:lang w:val="en-US" w:eastAsia="zh-CN"/>
        </w:rPr>
        <w:t>T</w:t>
      </w:r>
      <w:r>
        <w:rPr>
          <w:rFonts w:hint="eastAsia" w:eastAsia="宋体" w:cs="Times New Roman"/>
          <w:b/>
          <w:bCs/>
          <w:sz w:val="20"/>
          <w:szCs w:val="20"/>
          <w:vertAlign w:val="subscript"/>
          <w:lang w:val="en-US" w:eastAsia="zh-CN"/>
        </w:rPr>
        <w:t>search</w:t>
      </w:r>
      <w:r>
        <w:rPr>
          <w:rFonts w:hint="eastAsia" w:eastAsia="宋体" w:cs="Times New Roman"/>
          <w:b/>
          <w:bCs/>
          <w:sz w:val="20"/>
          <w:szCs w:val="20"/>
          <w:lang w:val="en-US" w:eastAsia="zh-CN"/>
        </w:rPr>
        <w:t xml:space="preserve"> will not be changed which is 1*T</w:t>
      </w:r>
      <w:r>
        <w:rPr>
          <w:rFonts w:hint="eastAsia" w:eastAsia="宋体" w:cs="Times New Roman"/>
          <w:b/>
          <w:bCs/>
          <w:sz w:val="20"/>
          <w:szCs w:val="20"/>
          <w:vertAlign w:val="subscript"/>
          <w:lang w:val="en-US" w:eastAsia="zh-CN"/>
        </w:rPr>
        <w:t>first_ssb</w:t>
      </w:r>
      <w:r>
        <w:rPr>
          <w:rFonts w:hint="eastAsia" w:eastAsia="宋体" w:cs="Times New Roman"/>
          <w:b/>
          <w:bCs/>
          <w:sz w:val="20"/>
          <w:szCs w:val="20"/>
          <w:lang w:val="en-US" w:eastAsia="zh-CN"/>
        </w:rPr>
        <w:t xml:space="preserve"> ms for 2Rx RedCap UEs. For 1Rx RedCap UEs, T</w:t>
      </w:r>
      <w:r>
        <w:rPr>
          <w:rFonts w:hint="eastAsia" w:eastAsia="宋体" w:cs="Times New Roman"/>
          <w:b/>
          <w:bCs/>
          <w:sz w:val="20"/>
          <w:szCs w:val="20"/>
          <w:vertAlign w:val="subscript"/>
          <w:lang w:val="en-US" w:eastAsia="zh-CN"/>
        </w:rPr>
        <w:t>search</w:t>
      </w:r>
      <w:r>
        <w:rPr>
          <w:rFonts w:hint="eastAsia" w:eastAsia="宋体" w:cs="Times New Roman"/>
          <w:b/>
          <w:bCs/>
          <w:sz w:val="20"/>
          <w:szCs w:val="20"/>
          <w:lang w:val="en-US" w:eastAsia="zh-CN"/>
        </w:rPr>
        <w:t xml:space="preserve"> will be 2*T</w:t>
      </w:r>
      <w:r>
        <w:rPr>
          <w:rFonts w:hint="eastAsia" w:eastAsia="宋体" w:cs="Times New Roman"/>
          <w:b/>
          <w:bCs/>
          <w:sz w:val="20"/>
          <w:szCs w:val="20"/>
          <w:vertAlign w:val="subscript"/>
          <w:lang w:val="en-US" w:eastAsia="zh-CN"/>
        </w:rPr>
        <w:t>first_ssb</w:t>
      </w:r>
      <w:r>
        <w:rPr>
          <w:rFonts w:hint="eastAsia" w:eastAsia="宋体" w:cs="Times New Roman"/>
          <w:b/>
          <w:bCs/>
          <w:sz w:val="20"/>
          <w:szCs w:val="20"/>
          <w:lang w:val="en-US" w:eastAsia="zh-CN"/>
        </w:rPr>
        <w:t xml:space="preserve"> ms.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szCs w:val="20"/>
          <w:lang w:val="en-US" w:eastAsia="zh-CN"/>
        </w:rPr>
      </w:pPr>
      <w:r>
        <w:rPr>
          <w:rFonts w:hint="eastAsia" w:eastAsia="宋体"/>
          <w:b/>
          <w:bCs/>
          <w:sz w:val="20"/>
          <w:szCs w:val="20"/>
          <w:lang w:val="en-US" w:eastAsia="zh-CN"/>
        </w:rPr>
        <w:t xml:space="preserve">Proposal 8: Considering soft satellite switching delay, </w:t>
      </w:r>
      <w:r>
        <w:rPr>
          <w:rFonts w:hint="eastAsia" w:eastAsia="宋体" w:cs="Times New Roman"/>
          <w:b/>
          <w:bCs/>
          <w:sz w:val="20"/>
          <w:szCs w:val="20"/>
          <w:lang w:val="en-US" w:eastAsia="zh-CN"/>
        </w:rPr>
        <w:t>T</w:t>
      </w:r>
      <w:r>
        <w:rPr>
          <w:rFonts w:hint="eastAsia" w:eastAsia="宋体" w:cs="Times New Roman"/>
          <w:b/>
          <w:bCs/>
          <w:sz w:val="20"/>
          <w:szCs w:val="20"/>
          <w:vertAlign w:val="subscript"/>
          <w:lang w:val="en-US" w:eastAsia="zh-CN"/>
        </w:rPr>
        <w:t>search</w:t>
      </w:r>
      <w:r>
        <w:rPr>
          <w:rFonts w:hint="eastAsia" w:eastAsia="宋体" w:cs="Times New Roman"/>
          <w:b/>
          <w:bCs/>
          <w:sz w:val="20"/>
          <w:szCs w:val="20"/>
          <w:lang w:val="en-US" w:eastAsia="zh-CN"/>
        </w:rPr>
        <w:t xml:space="preserve"> will not be changed which is 1*T</w:t>
      </w:r>
      <w:r>
        <w:rPr>
          <w:rFonts w:hint="eastAsia" w:eastAsia="宋体" w:cs="Times New Roman"/>
          <w:b/>
          <w:bCs/>
          <w:sz w:val="20"/>
          <w:szCs w:val="20"/>
          <w:vertAlign w:val="subscript"/>
          <w:lang w:val="en-US" w:eastAsia="zh-CN"/>
        </w:rPr>
        <w:t>first_ssb</w:t>
      </w:r>
      <w:r>
        <w:rPr>
          <w:rFonts w:hint="eastAsia" w:eastAsia="宋体" w:cs="Times New Roman"/>
          <w:b/>
          <w:bCs/>
          <w:sz w:val="20"/>
          <w:szCs w:val="20"/>
          <w:lang w:val="en-US" w:eastAsia="zh-CN"/>
        </w:rPr>
        <w:t xml:space="preserve"> ms for 2Rx RedCap UEs. For 1Rx RedCap UEs, T</w:t>
      </w:r>
      <w:r>
        <w:rPr>
          <w:rFonts w:hint="eastAsia" w:eastAsia="宋体" w:cs="Times New Roman"/>
          <w:b/>
          <w:bCs/>
          <w:sz w:val="20"/>
          <w:szCs w:val="20"/>
          <w:vertAlign w:val="subscript"/>
          <w:lang w:val="en-US" w:eastAsia="zh-CN"/>
        </w:rPr>
        <w:t>search</w:t>
      </w:r>
      <w:r>
        <w:rPr>
          <w:rFonts w:hint="eastAsia" w:eastAsia="宋体" w:cs="Times New Roman"/>
          <w:b/>
          <w:bCs/>
          <w:sz w:val="20"/>
          <w:szCs w:val="20"/>
          <w:lang w:val="en-US" w:eastAsia="zh-CN"/>
        </w:rPr>
        <w:t xml:space="preserve"> will be 2*T</w:t>
      </w:r>
      <w:r>
        <w:rPr>
          <w:rFonts w:hint="eastAsia" w:eastAsia="宋体" w:cs="Times New Roman"/>
          <w:b/>
          <w:bCs/>
          <w:sz w:val="20"/>
          <w:szCs w:val="20"/>
          <w:vertAlign w:val="subscript"/>
          <w:lang w:val="en-US" w:eastAsia="zh-CN"/>
        </w:rPr>
        <w:t>first_ssb</w:t>
      </w:r>
      <w:r>
        <w:rPr>
          <w:rFonts w:hint="eastAsia" w:eastAsia="宋体" w:cs="Times New Roman"/>
          <w:b/>
          <w:bCs/>
          <w:sz w:val="20"/>
          <w:szCs w:val="20"/>
          <w:lang w:val="en-US" w:eastAsia="zh-CN"/>
        </w:rPr>
        <w:t xml:space="preserve"> ms.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b/>
          <w:bCs/>
          <w:lang w:val="en-US" w:eastAsia="zh-CN"/>
        </w:rPr>
      </w:pPr>
      <w:r>
        <w:rPr>
          <w:rFonts w:hint="eastAsia"/>
          <w:b/>
          <w:bCs/>
          <w:lang w:val="en-US" w:eastAsia="zh-CN"/>
        </w:rPr>
        <w:t>Proposal 9: RAN4 shall reuse the legacy passloss reference signal switching delay in NTN for 1Rx and 2Rx RedCap UEs in NTN scenario.</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val="0"/>
          <w:bCs w:val="0"/>
          <w:sz w:val="20"/>
          <w:szCs w:val="20"/>
          <w:lang w:val="en-US" w:eastAsia="zh-CN"/>
        </w:rPr>
      </w:pPr>
      <w:r>
        <w:rPr>
          <w:rFonts w:hint="eastAsia" w:eastAsia="宋体" w:cs="Times New Roman"/>
          <w:b/>
          <w:bCs/>
          <w:sz w:val="20"/>
          <w:szCs w:val="20"/>
          <w:lang w:val="en-US" w:eastAsia="zh-CN"/>
        </w:rPr>
        <w:t>Observation 7: For the logged MDT requirements and RRC connection establishment failure logging and reporting, the requirements consist of two parts: measurement requirements and relative time stamp. Different part has different requirements, among them the relative time stamp has different time duration which is values in seconds.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szCs w:val="20"/>
          <w:lang w:val="en-US" w:eastAsia="zh-CN"/>
        </w:rPr>
      </w:pPr>
      <w:r>
        <w:rPr>
          <w:rFonts w:hint="eastAsia" w:eastAsia="宋体" w:cs="Times New Roman"/>
          <w:b/>
          <w:bCs/>
          <w:sz w:val="20"/>
          <w:szCs w:val="20"/>
          <w:lang w:val="en-US" w:eastAsia="zh-CN"/>
        </w:rPr>
        <w:t>Observation 8: M</w:t>
      </w:r>
      <w:r>
        <w:rPr>
          <w:rFonts w:hint="eastAsia" w:eastAsia="宋体"/>
          <w:b/>
          <w:bCs/>
          <w:sz w:val="20"/>
          <w:szCs w:val="20"/>
          <w:lang w:val="en-US" w:eastAsia="zh-CN"/>
        </w:rPr>
        <w:t>ajority companies do not have strong view to define the related requirements for MDT since the RedCap UEs have low complexity and low cost. Few companies deem that the cell size is large enough for NTN and MDT requirements have been defined in legacy NTN. Thus, MDT shall be defined. However, several companies think that normal UEs can also perform MDT and it is not necessary to study MDT for RedCap UEs. We do not have the strong view on this.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szCs w:val="20"/>
          <w:lang w:val="en-US" w:eastAsia="zh-CN"/>
        </w:rPr>
      </w:pPr>
      <w:r>
        <w:rPr>
          <w:rFonts w:hint="eastAsia" w:eastAsia="宋体" w:cs="Times New Roman"/>
          <w:b/>
          <w:bCs/>
          <w:sz w:val="20"/>
          <w:szCs w:val="20"/>
          <w:lang w:val="en-US" w:eastAsia="zh-CN"/>
        </w:rPr>
        <w:t xml:space="preserve">Proposal 10: RAN4 shall consider NTN cell size and RedCap UE capability and then decide whether to define relevant requirements.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b/>
          <w:bCs/>
          <w:lang w:val="en-US" w:eastAsia="zh-CN"/>
        </w:rPr>
      </w:pPr>
      <w:r>
        <w:rPr>
          <w:rFonts w:hint="eastAsia" w:eastAsia="宋体" w:cs="Times New Roman"/>
          <w:b/>
          <w:bCs/>
          <w:sz w:val="20"/>
          <w:lang w:val="en-US" w:eastAsia="zh-CN"/>
        </w:rPr>
        <w:t>Observation 9: T</w:t>
      </w:r>
      <w:r>
        <w:rPr>
          <w:b/>
          <w:bCs/>
        </w:rPr>
        <w:t>he UE is allowed to transmit using the configured uplink resources provided that the UE is synchronized towards the serving cell prior to transmission</w:t>
      </w:r>
      <w:r>
        <w:rPr>
          <w:rFonts w:hint="eastAsia" w:eastAsia="宋体"/>
          <w:b/>
          <w:bCs/>
          <w:lang w:val="en-US" w:eastAsia="zh-CN"/>
        </w:rPr>
        <w:t>.</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b/>
          <w:bCs/>
          <w:lang w:val="en-US" w:eastAsia="zh-CN"/>
        </w:rPr>
      </w:pPr>
      <w:r>
        <w:rPr>
          <w:rFonts w:hint="eastAsia" w:eastAsia="宋体"/>
          <w:b/>
          <w:bCs/>
          <w:lang w:val="en-US" w:eastAsia="zh-CN"/>
        </w:rPr>
        <w:t xml:space="preserve">Observation 10: </w:t>
      </w:r>
      <w:r>
        <w:rPr>
          <w:rFonts w:hint="eastAsia" w:eastAsia="宋体" w:cs="Times New Roman"/>
          <w:b/>
          <w:bCs/>
          <w:sz w:val="20"/>
          <w:lang w:val="en-US" w:eastAsia="zh-CN"/>
        </w:rPr>
        <w:t>For 1Rx and 2Rx RedCap UEs, the requirements are same only the accuracy margin is different.</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Observation 11: Based on RAN2</w:t>
      </w:r>
      <w:r>
        <w:rPr>
          <w:rFonts w:hint="default" w:eastAsia="宋体" w:cs="Times New Roman"/>
          <w:b/>
          <w:bCs/>
          <w:sz w:val="20"/>
          <w:lang w:val="en-US" w:eastAsia="zh-CN"/>
        </w:rPr>
        <w:t>’</w:t>
      </w:r>
      <w:r>
        <w:rPr>
          <w:rFonts w:hint="eastAsia" w:eastAsia="宋体" w:cs="Times New Roman"/>
          <w:b/>
          <w:bCs/>
          <w:sz w:val="20"/>
          <w:lang w:val="en-US" w:eastAsia="zh-CN"/>
        </w:rPr>
        <w:t>s understanding,  the threshold of RSRP change can be up to 34dB.</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lang w:val="en-US" w:eastAsia="zh-CN"/>
        </w:rPr>
      </w:pPr>
      <w:r>
        <w:rPr>
          <w:rFonts w:hint="eastAsia" w:eastAsia="宋体" w:cs="Times New Roman"/>
          <w:b/>
          <w:bCs/>
          <w:sz w:val="20"/>
          <w:lang w:val="en-US" w:eastAsia="zh-CN"/>
        </w:rPr>
        <w:t>Proposal 11: CG-SDT shall be used for RedCap UEs in NTN whatever it</w:t>
      </w:r>
      <w:r>
        <w:rPr>
          <w:rFonts w:hint="default" w:eastAsia="宋体" w:cs="Times New Roman"/>
          <w:b/>
          <w:bCs/>
          <w:sz w:val="20"/>
          <w:lang w:val="en-US" w:eastAsia="zh-CN"/>
        </w:rPr>
        <w:t>’</w:t>
      </w:r>
      <w:r>
        <w:rPr>
          <w:rFonts w:hint="eastAsia" w:eastAsia="宋体" w:cs="Times New Roman"/>
          <w:b/>
          <w:bCs/>
          <w:sz w:val="20"/>
          <w:lang w:val="en-US" w:eastAsia="zh-CN"/>
        </w:rPr>
        <w:t>s the GSO or NGSO for 1Rx and 2Rx RedCap UEs, and the requirements can be:</w:t>
      </w:r>
    </w:p>
    <w:p>
      <w:pPr>
        <w:pStyle w:val="46"/>
        <w:rPr>
          <w:i/>
          <w:iCs/>
          <w:lang w:val="fr-FR"/>
        </w:rPr>
      </w:pPr>
      <w:r>
        <w:rPr>
          <w:lang w:val="fr-FR"/>
        </w:rPr>
        <w:t>Measurement</w:t>
      </w:r>
    </w:p>
    <w:p>
      <w:pPr>
        <w:pStyle w:val="46"/>
        <w:rPr>
          <w:i/>
          <w:iCs/>
          <w:lang w:val="fr-FR"/>
        </w:rPr>
      </w:pPr>
      <w:r>
        <w:rPr>
          <w:lang w:val="fr-FR"/>
        </w:rPr>
        <w:t>FR1</w:t>
      </w:r>
    </w:p>
    <w:p/>
    <w:p>
      <w:pPr>
        <w:pStyle w:val="47"/>
        <w:rPr>
          <w:i/>
          <w:iCs/>
          <w:lang w:val="fr-FR"/>
        </w:rPr>
      </w:pPr>
      <w:r>
        <w:rPr>
          <w:lang w:val="fr-FR"/>
        </w:rPr>
        <w:t>RSRP</w:t>
      </w:r>
      <w:r>
        <w:rPr>
          <w:vertAlign w:val="subscript"/>
          <w:lang w:val="fr-FR"/>
        </w:rPr>
        <w:t>1</w:t>
      </w:r>
    </w:p>
    <w:p>
      <w:pPr>
        <w:pStyle w:val="47"/>
        <w:rPr>
          <w:i/>
          <w:iCs/>
          <w:lang w:val="fr-FR"/>
        </w:rPr>
      </w:pPr>
      <w:r>
        <w:rPr>
          <w:lang w:val="fr-FR"/>
        </w:rPr>
        <w:t>(T1 – min(</w:t>
      </w:r>
      <w:r>
        <w:rPr>
          <w:rFonts w:hint="eastAsia" w:eastAsia="宋体"/>
          <w:highlight w:val="yellow"/>
          <w:lang w:val="en-US" w:eastAsia="zh-CN"/>
        </w:rPr>
        <w:t>800</w:t>
      </w:r>
      <w:r>
        <w:rPr>
          <w:highlight w:val="yellow"/>
          <w:lang w:val="fr-FR"/>
        </w:rPr>
        <w:t>ms</w:t>
      </w:r>
      <w:r>
        <w:rPr>
          <w:lang w:val="fr-FR"/>
        </w:rPr>
        <w:t>, M1*T</w:t>
      </w:r>
      <w:r>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w:t>
      </w:r>
      <w:r>
        <w:rPr>
          <w:rFonts w:hint="eastAsia" w:eastAsia="宋体"/>
          <w:highlight w:val="yellow"/>
          <w:lang w:val="en-US" w:eastAsia="zh-CN"/>
        </w:rPr>
        <w:t>800</w:t>
      </w:r>
      <w:r>
        <w:rPr>
          <w:highlight w:val="yellow"/>
          <w:lang w:val="fr-FR"/>
        </w:rPr>
        <w:t>ms</w:t>
      </w:r>
      <w:r>
        <w:rPr>
          <w:lang w:val="fr-FR"/>
        </w:rPr>
        <w:t>, M1*T</w:t>
      </w:r>
      <w:r>
        <w:rPr>
          <w:vertAlign w:val="subscript"/>
          <w:lang w:val="fr-FR"/>
        </w:rPr>
        <w:t>DRX</w:t>
      </w:r>
      <w:r>
        <w:rPr>
          <w:lang w:val="fr-FR"/>
        </w:rPr>
        <w:t>))</w:t>
      </w:r>
    </w:p>
    <w:p/>
    <w:p>
      <w:pPr>
        <w:pStyle w:val="47"/>
        <w:rPr>
          <w:i/>
          <w:iCs/>
          <w:lang w:val="fr-FR"/>
        </w:rPr>
      </w:pPr>
      <w:r>
        <w:rPr>
          <w:lang w:val="fr-FR"/>
        </w:rPr>
        <w:t>RSRP</w:t>
      </w:r>
      <w:r>
        <w:rPr>
          <w:vertAlign w:val="subscript"/>
          <w:lang w:val="fr-FR"/>
        </w:rPr>
        <w:t>2</w:t>
      </w:r>
    </w:p>
    <w:p>
      <w:pPr>
        <w:pStyle w:val="47"/>
        <w:rPr>
          <w:i/>
          <w:iCs/>
          <w:lang w:val="fr-FR"/>
        </w:rPr>
      </w:pPr>
      <w:r>
        <w:rPr>
          <w:lang w:val="fr-FR"/>
        </w:rPr>
        <w:t>(T2 – min(</w:t>
      </w:r>
      <w:r>
        <w:rPr>
          <w:rFonts w:hint="eastAsia" w:eastAsia="宋体"/>
          <w:highlight w:val="yellow"/>
          <w:lang w:val="en-US" w:eastAsia="zh-CN"/>
        </w:rPr>
        <w:t>800</w:t>
      </w:r>
      <w:r>
        <w:rPr>
          <w:highlight w:val="yellow"/>
          <w:lang w:val="fr-FR"/>
        </w:rPr>
        <w:t>ms</w:t>
      </w:r>
      <w:r>
        <w:rPr>
          <w:lang w:val="fr-FR"/>
        </w:rPr>
        <w:t>, M1*T</w:t>
      </w:r>
      <w:r>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p/>
    <w:p>
      <w:pPr>
        <w:pStyle w:val="47"/>
        <w:jc w:val="both"/>
        <w:rPr>
          <w:rFonts w:hint="default" w:eastAsia="宋体"/>
          <w:lang w:val="en-US" w:eastAsia="zh-CN"/>
        </w:rPr>
      </w:pPr>
      <w:r>
        <w:rPr>
          <w:rFonts w:hint="eastAsia" w:eastAsia="宋体"/>
          <w:lang w:val="en-US" w:eastAsia="zh-CN"/>
        </w:rPr>
        <w:t xml:space="preserve">Note: </w:t>
      </w:r>
      <w:r>
        <w:rPr>
          <w:rFonts w:ascii="Arial" w:hAnsi="Arial"/>
          <w:sz w:val="18"/>
          <w:lang w:eastAsia="zh-CN"/>
        </w:rPr>
        <w:t>The UE is not required to meet the requirements for 2.56s DRX cycle length for earth-moving LEO deployment.</w:t>
      </w:r>
    </w:p>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Proposal 12: Compared to 2Rx UE, extra 1dB margin shall be needed for 1Rx RedCap UEs.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Observation 12: The legacy SDT requirements is the same as the legacy RA requirements for 1Rx and 2Rx UEs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Proposal 13: If the random access for 2Rx and 1Rx RedCap requirements are defined, the RA based SDT requirements shall be reused. The extra 1dB accuracy margin for 1Rx can be reused.</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lang w:val="en-US" w:eastAsia="zh-CN"/>
        </w:rPr>
      </w:pPr>
      <w:r>
        <w:rPr>
          <w:rFonts w:hint="eastAsia" w:eastAsia="宋体" w:cs="Times New Roman"/>
          <w:b/>
          <w:bCs/>
          <w:sz w:val="20"/>
          <w:lang w:val="en-US" w:eastAsia="zh-CN"/>
        </w:rPr>
        <w:t xml:space="preserve">Proposal 14: The legacy requirements and applicable conditions can be as baseline for defining requirements of RedCap UE in NTN scenario.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lang w:val="en-US" w:eastAsia="zh-CN"/>
        </w:rPr>
      </w:pPr>
      <w:r>
        <w:rPr>
          <w:rFonts w:hint="eastAsia" w:eastAsia="宋体" w:cs="Times New Roman"/>
          <w:b/>
          <w:bCs/>
          <w:sz w:val="20"/>
          <w:lang w:val="en-US" w:eastAsia="zh-CN"/>
        </w:rPr>
        <w:t>Observation 13: The serving time may be from 5min to 10min for  LEO quasi earth-fixed cell.</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Observation 14: If consider more than one carrier for inter-frequency measurement, eDRX equals 10.24s could not be enough to cover more than one carrier measurement if considering the smallest serving time 5min.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Proposal 15: The eRDX could be configured for LEO quasi earth-fixed cell and the value can be up to 5.12s (T</w:t>
      </w:r>
      <w:r>
        <w:rPr>
          <w:rFonts w:hint="eastAsia" w:eastAsia="宋体" w:cs="Times New Roman"/>
          <w:b/>
          <w:bCs/>
          <w:sz w:val="20"/>
          <w:vertAlign w:val="subscript"/>
          <w:lang w:val="en-US" w:eastAsia="zh-CN"/>
        </w:rPr>
        <w:t>detect=</w:t>
      </w:r>
      <w:r>
        <w:rPr>
          <w:rFonts w:hint="eastAsia" w:eastAsia="宋体" w:cs="Times New Roman"/>
          <w:b/>
          <w:bCs/>
          <w:sz w:val="20"/>
          <w:lang w:val="en-US" w:eastAsia="zh-CN"/>
        </w:rPr>
        <w:t>235.52s).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lang w:val="en-US" w:eastAsia="zh-CN"/>
        </w:rPr>
      </w:pPr>
      <w:r>
        <w:rPr>
          <w:rFonts w:hint="eastAsia" w:eastAsia="宋体" w:cs="Times New Roman"/>
          <w:b/>
          <w:bCs/>
          <w:sz w:val="20"/>
          <w:lang w:val="en-US" w:eastAsia="zh-CN"/>
        </w:rPr>
        <w:t>Observation 14: Low mobility criteria and stationary criteria could not be distinguished by UE since the change of RSRP is not obvious in NTN scenario because of near-far-effect</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0"/>
          <w:lang w:val="en-US" w:eastAsia="zh-CN"/>
        </w:rPr>
      </w:pPr>
      <w:r>
        <w:rPr>
          <w:rFonts w:hint="eastAsia" w:eastAsia="宋体" w:cs="Times New Roman"/>
          <w:b/>
          <w:bCs/>
          <w:sz w:val="20"/>
          <w:lang w:val="en-US" w:eastAsia="zh-CN"/>
        </w:rPr>
        <w:t>Proposal 16: For relaxed criteria, low mobility condition and not-at-cell edge condition could be reused (R16 criteria).</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lang w:val="en-US" w:eastAsia="zh-CN"/>
        </w:rPr>
      </w:pPr>
      <w:r>
        <w:rPr>
          <w:rFonts w:hint="eastAsia" w:eastAsia="宋体" w:cs="Times New Roman"/>
          <w:b/>
          <w:bCs/>
          <w:sz w:val="20"/>
          <w:lang w:val="en-US" w:eastAsia="zh-CN"/>
        </w:rPr>
        <w:t>Proposal 17: For relaxed scaling factor, the legacy scaling factor shall be reused (K3=3).</w:t>
      </w:r>
    </w:p>
    <w:p>
      <w:pPr>
        <w:pStyle w:val="78"/>
        <w:numPr>
          <w:ilvl w:val="0"/>
          <w:numId w:val="0"/>
        </w:numPr>
        <w:ind w:left="360" w:hanging="360"/>
        <w:rPr>
          <w:lang w:val="en-US"/>
        </w:rPr>
      </w:pPr>
      <w:r>
        <w:rPr>
          <w:lang w:val="en-US"/>
        </w:rPr>
        <w:t>References</w:t>
      </w:r>
    </w:p>
    <w:p>
      <w:pPr>
        <w:rPr>
          <w:lang w:val="en-US"/>
        </w:rPr>
      </w:pPr>
      <w:bookmarkStart w:id="3" w:name="_Ref114500673"/>
      <w:bookmarkEnd w:id="3"/>
      <w:r>
        <w:rPr>
          <w:rFonts w:hint="eastAsia" w:eastAsia="宋体"/>
          <w:lang w:val="en-US" w:eastAsia="zh-CN"/>
        </w:rPr>
        <w:t xml:space="preserve">[1] </w:t>
      </w:r>
      <w:r>
        <w:rPr>
          <w:rFonts w:hint="eastAsia"/>
        </w:rPr>
        <w:t>RP-241667</w:t>
      </w:r>
      <w:r>
        <w:rPr>
          <w:rFonts w:hint="eastAsia" w:eastAsia="宋体"/>
          <w:lang w:eastAsia="zh-CN"/>
        </w:rPr>
        <w:t>，</w:t>
      </w:r>
      <w:r>
        <w:rPr>
          <w:rFonts w:hint="eastAsia"/>
        </w:rPr>
        <w:t xml:space="preserve">Rel-19 WID NR NTN phase </w:t>
      </w:r>
      <w:r>
        <w:rPr>
          <w:rFonts w:hint="eastAsia" w:eastAsia="宋体"/>
          <w:lang w:val="en-US" w:eastAsia="zh-CN"/>
        </w:rPr>
        <w:t>3</w:t>
      </w:r>
      <w:r>
        <w:rPr>
          <w:rFonts w:hint="eastAsia"/>
          <w:lang w:val="en-US" w:eastAsia="zh-CN"/>
        </w:rPr>
        <w:t>.</w:t>
      </w:r>
    </w:p>
    <w:p>
      <w:pPr>
        <w:rPr>
          <w:rFonts w:hint="eastAsia"/>
          <w:lang w:val="en-US" w:eastAsia="zh-CN"/>
        </w:rPr>
      </w:pPr>
      <w:r>
        <w:rPr>
          <w:rFonts w:hint="eastAsia"/>
          <w:lang w:val="en-US" w:eastAsia="zh-CN"/>
        </w:rPr>
        <w:t>[2] TS38.133</w:t>
      </w:r>
    </w:p>
    <w:p>
      <w:pPr>
        <w:rPr>
          <w:rFonts w:hint="eastAsia"/>
          <w:lang w:val="en-US" w:eastAsia="zh-CN"/>
        </w:rPr>
      </w:pPr>
      <w:r>
        <w:rPr>
          <w:rFonts w:hint="eastAsia"/>
          <w:lang w:val="en-US" w:eastAsia="zh-CN"/>
        </w:rPr>
        <w:t>[3] TS38.304</w:t>
      </w:r>
    </w:p>
    <w:p>
      <w:pPr>
        <w:rPr>
          <w:rFonts w:hint="default"/>
          <w:lang w:val="en-US" w:eastAsia="zh-CN"/>
        </w:rPr>
      </w:pPr>
      <w:r>
        <w:rPr>
          <w:rFonts w:hint="eastAsia"/>
          <w:lang w:val="en-US" w:eastAsia="zh-CN"/>
        </w:rPr>
        <w:t>[4] TS38.331</w:t>
      </w:r>
    </w:p>
    <w:p>
      <w:pPr>
        <w:rPr>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pStyle w:val="27"/>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F6EE0F"/>
    <w:multiLevelType w:val="singleLevel"/>
    <w:tmpl w:val="8EF6EE0F"/>
    <w:lvl w:ilvl="0" w:tentative="0">
      <w:start w:val="1"/>
      <w:numFmt w:val="lowerLetter"/>
      <w:lvlText w:val="%1."/>
      <w:lvlJc w:val="left"/>
      <w:pPr>
        <w:ind w:left="425" w:hanging="425"/>
      </w:pPr>
      <w:rPr>
        <w:rFonts w:hint="default"/>
      </w:rPr>
    </w:lvl>
  </w:abstractNum>
  <w:abstractNum w:abstractNumId="1">
    <w:nsid w:val="B6608E5E"/>
    <w:multiLevelType w:val="singleLevel"/>
    <w:tmpl w:val="B6608E5E"/>
    <w:lvl w:ilvl="0" w:tentative="0">
      <w:start w:val="1"/>
      <w:numFmt w:val="bullet"/>
      <w:lvlText w:val=""/>
      <w:lvlJc w:val="left"/>
      <w:pPr>
        <w:ind w:left="420" w:hanging="420"/>
      </w:pPr>
      <w:rPr>
        <w:rFonts w:hint="default" w:ascii="Wingdings" w:hAnsi="Wingdings"/>
      </w:rPr>
    </w:lvl>
  </w:abstractNum>
  <w:abstractNum w:abstractNumId="2">
    <w:nsid w:val="C6E79F6E"/>
    <w:multiLevelType w:val="singleLevel"/>
    <w:tmpl w:val="C6E79F6E"/>
    <w:lvl w:ilvl="0" w:tentative="0">
      <w:start w:val="1"/>
      <w:numFmt w:val="bullet"/>
      <w:lvlText w:val=""/>
      <w:lvlJc w:val="left"/>
      <w:pPr>
        <w:ind w:left="420" w:hanging="420"/>
      </w:pPr>
      <w:rPr>
        <w:rFonts w:hint="default" w:ascii="Wingdings" w:hAnsi="Wingdings"/>
      </w:rPr>
    </w:lvl>
  </w:abstractNum>
  <w:abstractNum w:abstractNumId="3">
    <w:nsid w:val="0ACF6EF9"/>
    <w:multiLevelType w:val="singleLevel"/>
    <w:tmpl w:val="0ACF6EF9"/>
    <w:lvl w:ilvl="0" w:tentative="0">
      <w:start w:val="1"/>
      <w:numFmt w:val="lowerLetter"/>
      <w:suff w:val="space"/>
      <w:lvlText w:val="%1."/>
      <w:lvlJc w:val="left"/>
    </w:lvl>
  </w:abstractNum>
  <w:abstractNum w:abstractNumId="4">
    <w:nsid w:val="105E975F"/>
    <w:multiLevelType w:val="singleLevel"/>
    <w:tmpl w:val="105E975F"/>
    <w:lvl w:ilvl="0" w:tentative="0">
      <w:start w:val="1"/>
      <w:numFmt w:val="bullet"/>
      <w:lvlText w:val=""/>
      <w:lvlJc w:val="left"/>
      <w:pPr>
        <w:ind w:left="420" w:hanging="420"/>
      </w:pPr>
      <w:rPr>
        <w:rFonts w:hint="default" w:ascii="Wingdings" w:hAnsi="Wingdings"/>
      </w:rPr>
    </w:lvl>
  </w:abstractNum>
  <w:abstractNum w:abstractNumId="5">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D6E3167"/>
    <w:multiLevelType w:val="multilevel"/>
    <w:tmpl w:val="4D6E3167"/>
    <w:lvl w:ilvl="0" w:tentative="0">
      <w:start w:val="1"/>
      <w:numFmt w:val="decimal"/>
      <w:pStyle w:val="81"/>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700" w:hanging="360"/>
      </w:pPr>
      <w:rPr>
        <w:rFonts w:hint="default" w:ascii="Courier New" w:hAnsi="Courier New" w:cs="Courier New"/>
      </w:rPr>
    </w:lvl>
    <w:lvl w:ilvl="2" w:tentative="0">
      <w:start w:val="1"/>
      <w:numFmt w:val="bullet"/>
      <w:lvlText w:val=""/>
      <w:lvlJc w:val="left"/>
      <w:pPr>
        <w:ind w:left="1830"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665C217B"/>
    <w:multiLevelType w:val="multilevel"/>
    <w:tmpl w:val="665C217B"/>
    <w:lvl w:ilvl="0" w:tentative="0">
      <w:start w:val="1"/>
      <w:numFmt w:val="decimal"/>
      <w:pStyle w:val="78"/>
      <w:lvlText w:val="%1"/>
      <w:lvlJc w:val="left"/>
      <w:pPr>
        <w:ind w:left="360" w:hanging="360"/>
      </w:pPr>
      <w:rPr>
        <w:rFonts w:hint="default"/>
      </w:rPr>
    </w:lvl>
    <w:lvl w:ilvl="1" w:tentative="0">
      <w:start w:val="1"/>
      <w:numFmt w:val="decimal"/>
      <w:pStyle w:val="80"/>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9">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8"/>
  </w:num>
  <w:num w:numId="2">
    <w:abstractNumId w:val="6"/>
  </w:num>
  <w:num w:numId="3">
    <w:abstractNumId w:val="9"/>
  </w:num>
  <w:num w:numId="4">
    <w:abstractNumId w:val="5"/>
  </w:num>
  <w:num w:numId="5">
    <w:abstractNumId w:val="2"/>
  </w:num>
  <w:num w:numId="6">
    <w:abstractNumId w:val="3"/>
  </w:num>
  <w:num w:numId="7">
    <w:abstractNumId w:val="1"/>
  </w:num>
  <w:num w:numId="8">
    <w:abstractNumId w:val="0"/>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A8C"/>
    <w:rsid w:val="00033397"/>
    <w:rsid w:val="00040095"/>
    <w:rsid w:val="000455F6"/>
    <w:rsid w:val="00051834"/>
    <w:rsid w:val="00054A22"/>
    <w:rsid w:val="00056A26"/>
    <w:rsid w:val="00062023"/>
    <w:rsid w:val="000655A6"/>
    <w:rsid w:val="00080512"/>
    <w:rsid w:val="000C47C3"/>
    <w:rsid w:val="000D39A7"/>
    <w:rsid w:val="000D58AB"/>
    <w:rsid w:val="0011152A"/>
    <w:rsid w:val="0011507D"/>
    <w:rsid w:val="00131F19"/>
    <w:rsid w:val="00133525"/>
    <w:rsid w:val="00167FF6"/>
    <w:rsid w:val="001A4C42"/>
    <w:rsid w:val="001A7420"/>
    <w:rsid w:val="001B6637"/>
    <w:rsid w:val="001C21C3"/>
    <w:rsid w:val="001D02C2"/>
    <w:rsid w:val="001F0C1D"/>
    <w:rsid w:val="001F1132"/>
    <w:rsid w:val="001F168B"/>
    <w:rsid w:val="001F3AF1"/>
    <w:rsid w:val="0021140F"/>
    <w:rsid w:val="002347A2"/>
    <w:rsid w:val="002675F0"/>
    <w:rsid w:val="002840A1"/>
    <w:rsid w:val="002B6339"/>
    <w:rsid w:val="002E00EE"/>
    <w:rsid w:val="003172DC"/>
    <w:rsid w:val="0033338C"/>
    <w:rsid w:val="0035462D"/>
    <w:rsid w:val="003765B8"/>
    <w:rsid w:val="00384CDA"/>
    <w:rsid w:val="003A71A1"/>
    <w:rsid w:val="003C3971"/>
    <w:rsid w:val="003D429A"/>
    <w:rsid w:val="00400352"/>
    <w:rsid w:val="00423334"/>
    <w:rsid w:val="00425BC0"/>
    <w:rsid w:val="004345EC"/>
    <w:rsid w:val="0044364B"/>
    <w:rsid w:val="0044437F"/>
    <w:rsid w:val="00454360"/>
    <w:rsid w:val="00465515"/>
    <w:rsid w:val="004929E3"/>
    <w:rsid w:val="00495EB4"/>
    <w:rsid w:val="004B2A74"/>
    <w:rsid w:val="004C61CE"/>
    <w:rsid w:val="004D3578"/>
    <w:rsid w:val="004E213A"/>
    <w:rsid w:val="004F0988"/>
    <w:rsid w:val="004F3340"/>
    <w:rsid w:val="0053388B"/>
    <w:rsid w:val="00535773"/>
    <w:rsid w:val="00543E6C"/>
    <w:rsid w:val="00546D44"/>
    <w:rsid w:val="0056254B"/>
    <w:rsid w:val="00565087"/>
    <w:rsid w:val="0057305F"/>
    <w:rsid w:val="00586E2E"/>
    <w:rsid w:val="0058779C"/>
    <w:rsid w:val="00597B11"/>
    <w:rsid w:val="005D2E01"/>
    <w:rsid w:val="005D7526"/>
    <w:rsid w:val="005E4BB2"/>
    <w:rsid w:val="00602AEA"/>
    <w:rsid w:val="00614FDF"/>
    <w:rsid w:val="00631B7B"/>
    <w:rsid w:val="0063543D"/>
    <w:rsid w:val="0063585B"/>
    <w:rsid w:val="00647114"/>
    <w:rsid w:val="00657F65"/>
    <w:rsid w:val="00677DB7"/>
    <w:rsid w:val="006A323F"/>
    <w:rsid w:val="006A6F17"/>
    <w:rsid w:val="006B30D0"/>
    <w:rsid w:val="006C1584"/>
    <w:rsid w:val="006C3D95"/>
    <w:rsid w:val="006E5C86"/>
    <w:rsid w:val="006F1357"/>
    <w:rsid w:val="006F61D7"/>
    <w:rsid w:val="00701116"/>
    <w:rsid w:val="00713C44"/>
    <w:rsid w:val="00734A5B"/>
    <w:rsid w:val="0074026F"/>
    <w:rsid w:val="007429F6"/>
    <w:rsid w:val="00743C79"/>
    <w:rsid w:val="00744E76"/>
    <w:rsid w:val="00774DA4"/>
    <w:rsid w:val="00781F0F"/>
    <w:rsid w:val="007A7AA8"/>
    <w:rsid w:val="007B600E"/>
    <w:rsid w:val="007C7DB2"/>
    <w:rsid w:val="007F0F4A"/>
    <w:rsid w:val="007F3BEC"/>
    <w:rsid w:val="008028A4"/>
    <w:rsid w:val="00830747"/>
    <w:rsid w:val="0083684A"/>
    <w:rsid w:val="00841141"/>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66DD7"/>
    <w:rsid w:val="00B67352"/>
    <w:rsid w:val="00B81824"/>
    <w:rsid w:val="00B93086"/>
    <w:rsid w:val="00B93FB3"/>
    <w:rsid w:val="00BA19ED"/>
    <w:rsid w:val="00BA4B8D"/>
    <w:rsid w:val="00BC0519"/>
    <w:rsid w:val="00BC0F7D"/>
    <w:rsid w:val="00BD7D31"/>
    <w:rsid w:val="00BE3255"/>
    <w:rsid w:val="00BF128E"/>
    <w:rsid w:val="00C074DD"/>
    <w:rsid w:val="00C1496A"/>
    <w:rsid w:val="00C33079"/>
    <w:rsid w:val="00C333CD"/>
    <w:rsid w:val="00C41F2A"/>
    <w:rsid w:val="00C45231"/>
    <w:rsid w:val="00C72833"/>
    <w:rsid w:val="00C80F1D"/>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5D78"/>
    <w:rsid w:val="00E77645"/>
    <w:rsid w:val="00E8160A"/>
    <w:rsid w:val="00E82959"/>
    <w:rsid w:val="00EA15B0"/>
    <w:rsid w:val="00EA5EA7"/>
    <w:rsid w:val="00EC4A25"/>
    <w:rsid w:val="00EF13CA"/>
    <w:rsid w:val="00F025A2"/>
    <w:rsid w:val="00F04712"/>
    <w:rsid w:val="00F07D1B"/>
    <w:rsid w:val="00F11E2C"/>
    <w:rsid w:val="00F13360"/>
    <w:rsid w:val="00F22EC7"/>
    <w:rsid w:val="00F325C8"/>
    <w:rsid w:val="00F46721"/>
    <w:rsid w:val="00F653B8"/>
    <w:rsid w:val="00F76708"/>
    <w:rsid w:val="00F80895"/>
    <w:rsid w:val="00F9008D"/>
    <w:rsid w:val="00F90125"/>
    <w:rsid w:val="00FA1266"/>
    <w:rsid w:val="00FA4E78"/>
    <w:rsid w:val="00FC1192"/>
    <w:rsid w:val="00FC2417"/>
    <w:rsid w:val="00FD589C"/>
    <w:rsid w:val="010356B7"/>
    <w:rsid w:val="0106663B"/>
    <w:rsid w:val="01105490"/>
    <w:rsid w:val="011629BA"/>
    <w:rsid w:val="01256C52"/>
    <w:rsid w:val="01295F0D"/>
    <w:rsid w:val="013164AC"/>
    <w:rsid w:val="013D472E"/>
    <w:rsid w:val="01406A1E"/>
    <w:rsid w:val="01410DC2"/>
    <w:rsid w:val="01536085"/>
    <w:rsid w:val="0158163D"/>
    <w:rsid w:val="015A322D"/>
    <w:rsid w:val="015E2EBD"/>
    <w:rsid w:val="016067B5"/>
    <w:rsid w:val="01607FCF"/>
    <w:rsid w:val="01652E48"/>
    <w:rsid w:val="01726FEF"/>
    <w:rsid w:val="017E2E02"/>
    <w:rsid w:val="018F1743"/>
    <w:rsid w:val="018F25C8"/>
    <w:rsid w:val="01906A5B"/>
    <w:rsid w:val="01907C39"/>
    <w:rsid w:val="01A338EB"/>
    <w:rsid w:val="01B9477C"/>
    <w:rsid w:val="01BC14B7"/>
    <w:rsid w:val="01DC3E46"/>
    <w:rsid w:val="01E70C97"/>
    <w:rsid w:val="01EA15CF"/>
    <w:rsid w:val="01FE3350"/>
    <w:rsid w:val="01FE6BD3"/>
    <w:rsid w:val="01FF0DD2"/>
    <w:rsid w:val="021D3C93"/>
    <w:rsid w:val="021D532B"/>
    <w:rsid w:val="021F7108"/>
    <w:rsid w:val="02262316"/>
    <w:rsid w:val="02336E0C"/>
    <w:rsid w:val="02402E7C"/>
    <w:rsid w:val="02490A5B"/>
    <w:rsid w:val="02505886"/>
    <w:rsid w:val="025F388A"/>
    <w:rsid w:val="02762F34"/>
    <w:rsid w:val="027D6F46"/>
    <w:rsid w:val="028832B4"/>
    <w:rsid w:val="028C5156"/>
    <w:rsid w:val="029011A2"/>
    <w:rsid w:val="029D79D6"/>
    <w:rsid w:val="02A03627"/>
    <w:rsid w:val="02A53D0A"/>
    <w:rsid w:val="02B45E6F"/>
    <w:rsid w:val="02BB608A"/>
    <w:rsid w:val="02CB7221"/>
    <w:rsid w:val="02DB4554"/>
    <w:rsid w:val="02DC07C0"/>
    <w:rsid w:val="02E845D2"/>
    <w:rsid w:val="02EC4357"/>
    <w:rsid w:val="02EE768C"/>
    <w:rsid w:val="02F3657B"/>
    <w:rsid w:val="02FA1082"/>
    <w:rsid w:val="031778E0"/>
    <w:rsid w:val="031B60F3"/>
    <w:rsid w:val="03207FB0"/>
    <w:rsid w:val="0325790F"/>
    <w:rsid w:val="0327096F"/>
    <w:rsid w:val="032A315A"/>
    <w:rsid w:val="034623EE"/>
    <w:rsid w:val="03481CC2"/>
    <w:rsid w:val="034E163D"/>
    <w:rsid w:val="03522204"/>
    <w:rsid w:val="03527594"/>
    <w:rsid w:val="0356048A"/>
    <w:rsid w:val="03631D1E"/>
    <w:rsid w:val="03716AB5"/>
    <w:rsid w:val="038346FC"/>
    <w:rsid w:val="039A1E78"/>
    <w:rsid w:val="03A3177A"/>
    <w:rsid w:val="03BB74D8"/>
    <w:rsid w:val="03BF3D9F"/>
    <w:rsid w:val="03C6222F"/>
    <w:rsid w:val="03C80AD2"/>
    <w:rsid w:val="03C95263"/>
    <w:rsid w:val="03E34941"/>
    <w:rsid w:val="03E4716B"/>
    <w:rsid w:val="03F0584F"/>
    <w:rsid w:val="03F31292"/>
    <w:rsid w:val="03FA7E60"/>
    <w:rsid w:val="03FB5627"/>
    <w:rsid w:val="04076F95"/>
    <w:rsid w:val="041C6F4E"/>
    <w:rsid w:val="04242812"/>
    <w:rsid w:val="042736AF"/>
    <w:rsid w:val="04335C8F"/>
    <w:rsid w:val="04383CC9"/>
    <w:rsid w:val="04421BA4"/>
    <w:rsid w:val="044B12E0"/>
    <w:rsid w:val="045D4134"/>
    <w:rsid w:val="045E7BF6"/>
    <w:rsid w:val="046301A2"/>
    <w:rsid w:val="046A0693"/>
    <w:rsid w:val="04732FB8"/>
    <w:rsid w:val="04734D94"/>
    <w:rsid w:val="047D2013"/>
    <w:rsid w:val="04871DE8"/>
    <w:rsid w:val="048A3516"/>
    <w:rsid w:val="048F6485"/>
    <w:rsid w:val="0493460E"/>
    <w:rsid w:val="04976897"/>
    <w:rsid w:val="049A781C"/>
    <w:rsid w:val="049F5EA2"/>
    <w:rsid w:val="04A12403"/>
    <w:rsid w:val="04A815F7"/>
    <w:rsid w:val="04AD06A4"/>
    <w:rsid w:val="04BD1E3A"/>
    <w:rsid w:val="04BF0955"/>
    <w:rsid w:val="04C94AE8"/>
    <w:rsid w:val="04D9520B"/>
    <w:rsid w:val="04E04910"/>
    <w:rsid w:val="04E74098"/>
    <w:rsid w:val="04F0022B"/>
    <w:rsid w:val="04F31581"/>
    <w:rsid w:val="050C7718"/>
    <w:rsid w:val="05123361"/>
    <w:rsid w:val="05176C7C"/>
    <w:rsid w:val="05214F03"/>
    <w:rsid w:val="055211C9"/>
    <w:rsid w:val="055E02FB"/>
    <w:rsid w:val="056A21A3"/>
    <w:rsid w:val="056A3BE2"/>
    <w:rsid w:val="05781409"/>
    <w:rsid w:val="057E488D"/>
    <w:rsid w:val="059341B1"/>
    <w:rsid w:val="05AE2916"/>
    <w:rsid w:val="05B1379B"/>
    <w:rsid w:val="05C45AF2"/>
    <w:rsid w:val="05C6466C"/>
    <w:rsid w:val="05C66F89"/>
    <w:rsid w:val="05DB67C3"/>
    <w:rsid w:val="05E83B63"/>
    <w:rsid w:val="05EB00C3"/>
    <w:rsid w:val="05EC4912"/>
    <w:rsid w:val="05F02736"/>
    <w:rsid w:val="05F7145D"/>
    <w:rsid w:val="05FF4B65"/>
    <w:rsid w:val="06026AB1"/>
    <w:rsid w:val="060422D9"/>
    <w:rsid w:val="060D0D66"/>
    <w:rsid w:val="06182975"/>
    <w:rsid w:val="062C2061"/>
    <w:rsid w:val="06311BAC"/>
    <w:rsid w:val="064552D9"/>
    <w:rsid w:val="065C7CD3"/>
    <w:rsid w:val="06697A01"/>
    <w:rsid w:val="06721621"/>
    <w:rsid w:val="06747567"/>
    <w:rsid w:val="06792756"/>
    <w:rsid w:val="067B4559"/>
    <w:rsid w:val="067C67DB"/>
    <w:rsid w:val="068158A4"/>
    <w:rsid w:val="06871A9A"/>
    <w:rsid w:val="06927957"/>
    <w:rsid w:val="069E2EF0"/>
    <w:rsid w:val="06A806B6"/>
    <w:rsid w:val="06AB2A7F"/>
    <w:rsid w:val="06B135FD"/>
    <w:rsid w:val="06BB7ADE"/>
    <w:rsid w:val="06C55827"/>
    <w:rsid w:val="06C632A9"/>
    <w:rsid w:val="06C82223"/>
    <w:rsid w:val="06CD3A92"/>
    <w:rsid w:val="06D118CA"/>
    <w:rsid w:val="06DA6D83"/>
    <w:rsid w:val="06E73497"/>
    <w:rsid w:val="06FB066E"/>
    <w:rsid w:val="07007517"/>
    <w:rsid w:val="07036839"/>
    <w:rsid w:val="07073FA3"/>
    <w:rsid w:val="07090C52"/>
    <w:rsid w:val="070A2A99"/>
    <w:rsid w:val="071073F0"/>
    <w:rsid w:val="07256B46"/>
    <w:rsid w:val="07262AE1"/>
    <w:rsid w:val="072F7FC6"/>
    <w:rsid w:val="0732584E"/>
    <w:rsid w:val="07391593"/>
    <w:rsid w:val="073A1069"/>
    <w:rsid w:val="07426ACB"/>
    <w:rsid w:val="0743639D"/>
    <w:rsid w:val="075A7EF6"/>
    <w:rsid w:val="075C321E"/>
    <w:rsid w:val="076202A2"/>
    <w:rsid w:val="076A2A73"/>
    <w:rsid w:val="076A5618"/>
    <w:rsid w:val="077324C8"/>
    <w:rsid w:val="07754CC8"/>
    <w:rsid w:val="07774C5C"/>
    <w:rsid w:val="0782145E"/>
    <w:rsid w:val="07871169"/>
    <w:rsid w:val="078912E4"/>
    <w:rsid w:val="07961D7F"/>
    <w:rsid w:val="079B2021"/>
    <w:rsid w:val="07AE506C"/>
    <w:rsid w:val="07B54B15"/>
    <w:rsid w:val="07BC23FD"/>
    <w:rsid w:val="07C22AAD"/>
    <w:rsid w:val="07C3764D"/>
    <w:rsid w:val="07CC63DA"/>
    <w:rsid w:val="07CD53DA"/>
    <w:rsid w:val="07D7113E"/>
    <w:rsid w:val="07F6399B"/>
    <w:rsid w:val="07F66AC5"/>
    <w:rsid w:val="07F82721"/>
    <w:rsid w:val="08154250"/>
    <w:rsid w:val="081751D4"/>
    <w:rsid w:val="082D248C"/>
    <w:rsid w:val="0833764C"/>
    <w:rsid w:val="083A0C0C"/>
    <w:rsid w:val="08407581"/>
    <w:rsid w:val="084677D5"/>
    <w:rsid w:val="0848005E"/>
    <w:rsid w:val="084B1A9E"/>
    <w:rsid w:val="084C657D"/>
    <w:rsid w:val="084D12F0"/>
    <w:rsid w:val="08577669"/>
    <w:rsid w:val="087029A6"/>
    <w:rsid w:val="08765120"/>
    <w:rsid w:val="087B6B61"/>
    <w:rsid w:val="087E40F9"/>
    <w:rsid w:val="087F5E7D"/>
    <w:rsid w:val="0885360A"/>
    <w:rsid w:val="08887A18"/>
    <w:rsid w:val="08916AA8"/>
    <w:rsid w:val="08923B7D"/>
    <w:rsid w:val="08986A27"/>
    <w:rsid w:val="089F664F"/>
    <w:rsid w:val="08A203F3"/>
    <w:rsid w:val="08AF00C1"/>
    <w:rsid w:val="08B06CCA"/>
    <w:rsid w:val="08B531C0"/>
    <w:rsid w:val="08BB1078"/>
    <w:rsid w:val="08BD1F16"/>
    <w:rsid w:val="08C168E9"/>
    <w:rsid w:val="08C31339"/>
    <w:rsid w:val="08C95BAB"/>
    <w:rsid w:val="08CD401D"/>
    <w:rsid w:val="08D53034"/>
    <w:rsid w:val="08DA28B3"/>
    <w:rsid w:val="08DD2BEF"/>
    <w:rsid w:val="08E96C0E"/>
    <w:rsid w:val="08EF562D"/>
    <w:rsid w:val="08F203BB"/>
    <w:rsid w:val="08FF0843"/>
    <w:rsid w:val="0903652D"/>
    <w:rsid w:val="090556C6"/>
    <w:rsid w:val="09104DCD"/>
    <w:rsid w:val="0919607C"/>
    <w:rsid w:val="091A5CFC"/>
    <w:rsid w:val="091A5ED7"/>
    <w:rsid w:val="091F2183"/>
    <w:rsid w:val="09215687"/>
    <w:rsid w:val="09226210"/>
    <w:rsid w:val="09276AEB"/>
    <w:rsid w:val="092F499C"/>
    <w:rsid w:val="09335E2F"/>
    <w:rsid w:val="093978DE"/>
    <w:rsid w:val="094C40B4"/>
    <w:rsid w:val="09575B61"/>
    <w:rsid w:val="09604EF4"/>
    <w:rsid w:val="09606948"/>
    <w:rsid w:val="096E0D4F"/>
    <w:rsid w:val="09736AE0"/>
    <w:rsid w:val="098573A1"/>
    <w:rsid w:val="09874980"/>
    <w:rsid w:val="098C4D36"/>
    <w:rsid w:val="09A45C60"/>
    <w:rsid w:val="09CB3595"/>
    <w:rsid w:val="09DC3C1F"/>
    <w:rsid w:val="09E30E5D"/>
    <w:rsid w:val="09F04A5A"/>
    <w:rsid w:val="09F331B4"/>
    <w:rsid w:val="0A101B49"/>
    <w:rsid w:val="0A1364A3"/>
    <w:rsid w:val="0A143BE1"/>
    <w:rsid w:val="0A1B1271"/>
    <w:rsid w:val="0A2638DB"/>
    <w:rsid w:val="0A286DFB"/>
    <w:rsid w:val="0A3010C7"/>
    <w:rsid w:val="0A4856E0"/>
    <w:rsid w:val="0A4A2677"/>
    <w:rsid w:val="0A4D3E03"/>
    <w:rsid w:val="0A5164D1"/>
    <w:rsid w:val="0A550568"/>
    <w:rsid w:val="0A617D3D"/>
    <w:rsid w:val="0A6C43DE"/>
    <w:rsid w:val="0A79652B"/>
    <w:rsid w:val="0A8452CE"/>
    <w:rsid w:val="0A871A41"/>
    <w:rsid w:val="0A8E0068"/>
    <w:rsid w:val="0A971D70"/>
    <w:rsid w:val="0ABC02E8"/>
    <w:rsid w:val="0AC16484"/>
    <w:rsid w:val="0AC75762"/>
    <w:rsid w:val="0ACB2015"/>
    <w:rsid w:val="0AD20D5E"/>
    <w:rsid w:val="0AD555AC"/>
    <w:rsid w:val="0AED24FC"/>
    <w:rsid w:val="0B0444E5"/>
    <w:rsid w:val="0B0C593E"/>
    <w:rsid w:val="0B0C64AC"/>
    <w:rsid w:val="0B0F4A80"/>
    <w:rsid w:val="0B147818"/>
    <w:rsid w:val="0B1B1997"/>
    <w:rsid w:val="0B1F76CB"/>
    <w:rsid w:val="0B24532C"/>
    <w:rsid w:val="0B290995"/>
    <w:rsid w:val="0B3F6621"/>
    <w:rsid w:val="0B433002"/>
    <w:rsid w:val="0B4D2A88"/>
    <w:rsid w:val="0B527B25"/>
    <w:rsid w:val="0B565626"/>
    <w:rsid w:val="0B5E0983"/>
    <w:rsid w:val="0B6251C3"/>
    <w:rsid w:val="0B626EBA"/>
    <w:rsid w:val="0B6A3337"/>
    <w:rsid w:val="0B6A4840"/>
    <w:rsid w:val="0B707256"/>
    <w:rsid w:val="0B7129F9"/>
    <w:rsid w:val="0B7174D5"/>
    <w:rsid w:val="0B744B6D"/>
    <w:rsid w:val="0B770D72"/>
    <w:rsid w:val="0B7C0AD7"/>
    <w:rsid w:val="0B7E60C9"/>
    <w:rsid w:val="0B8730CC"/>
    <w:rsid w:val="0B8A60C6"/>
    <w:rsid w:val="0B8D7CFF"/>
    <w:rsid w:val="0B927AF3"/>
    <w:rsid w:val="0B942F0D"/>
    <w:rsid w:val="0BA00262"/>
    <w:rsid w:val="0BA069F6"/>
    <w:rsid w:val="0BA92341"/>
    <w:rsid w:val="0BB27E10"/>
    <w:rsid w:val="0BB6397D"/>
    <w:rsid w:val="0BB77FDE"/>
    <w:rsid w:val="0BB856CB"/>
    <w:rsid w:val="0BC45C5A"/>
    <w:rsid w:val="0BC82D04"/>
    <w:rsid w:val="0BCE3FEB"/>
    <w:rsid w:val="0BD16DAE"/>
    <w:rsid w:val="0BE05B3D"/>
    <w:rsid w:val="0BE12940"/>
    <w:rsid w:val="0BEF4F2C"/>
    <w:rsid w:val="0BF03462"/>
    <w:rsid w:val="0BF56721"/>
    <w:rsid w:val="0BF91564"/>
    <w:rsid w:val="0C0D4366"/>
    <w:rsid w:val="0C12406A"/>
    <w:rsid w:val="0C1B5A9E"/>
    <w:rsid w:val="0C226DB2"/>
    <w:rsid w:val="0C2B4C6E"/>
    <w:rsid w:val="0C351552"/>
    <w:rsid w:val="0C451165"/>
    <w:rsid w:val="0C5161F8"/>
    <w:rsid w:val="0C52360D"/>
    <w:rsid w:val="0C5B51E5"/>
    <w:rsid w:val="0C721B20"/>
    <w:rsid w:val="0C7B2063"/>
    <w:rsid w:val="0C7C1976"/>
    <w:rsid w:val="0C886C9D"/>
    <w:rsid w:val="0CAC6DE2"/>
    <w:rsid w:val="0CBA5E3E"/>
    <w:rsid w:val="0CC54F61"/>
    <w:rsid w:val="0CCB3B11"/>
    <w:rsid w:val="0CD82F88"/>
    <w:rsid w:val="0CDE55BC"/>
    <w:rsid w:val="0CDF3914"/>
    <w:rsid w:val="0CEA0AED"/>
    <w:rsid w:val="0CEA2CF7"/>
    <w:rsid w:val="0CF053C7"/>
    <w:rsid w:val="0CF377F7"/>
    <w:rsid w:val="0CF51457"/>
    <w:rsid w:val="0D035130"/>
    <w:rsid w:val="0D222892"/>
    <w:rsid w:val="0D225E27"/>
    <w:rsid w:val="0D23336E"/>
    <w:rsid w:val="0D257E20"/>
    <w:rsid w:val="0D284B82"/>
    <w:rsid w:val="0D292FA3"/>
    <w:rsid w:val="0D2E60EE"/>
    <w:rsid w:val="0D3A5239"/>
    <w:rsid w:val="0D3A7039"/>
    <w:rsid w:val="0D415F82"/>
    <w:rsid w:val="0D4356A8"/>
    <w:rsid w:val="0D502BB6"/>
    <w:rsid w:val="0D5B0F8B"/>
    <w:rsid w:val="0D635706"/>
    <w:rsid w:val="0D6D5450"/>
    <w:rsid w:val="0D750EA4"/>
    <w:rsid w:val="0D766925"/>
    <w:rsid w:val="0D767C8F"/>
    <w:rsid w:val="0D7A31E2"/>
    <w:rsid w:val="0D7F602A"/>
    <w:rsid w:val="0D8735F9"/>
    <w:rsid w:val="0D8972A3"/>
    <w:rsid w:val="0D94436C"/>
    <w:rsid w:val="0D980C13"/>
    <w:rsid w:val="0DB607B8"/>
    <w:rsid w:val="0DBF30CC"/>
    <w:rsid w:val="0DC22600"/>
    <w:rsid w:val="0DC51AC4"/>
    <w:rsid w:val="0DC63EF2"/>
    <w:rsid w:val="0DD75C5E"/>
    <w:rsid w:val="0DD806E1"/>
    <w:rsid w:val="0DD9749D"/>
    <w:rsid w:val="0DE51158"/>
    <w:rsid w:val="0DE67813"/>
    <w:rsid w:val="0DE9579A"/>
    <w:rsid w:val="0DF843DB"/>
    <w:rsid w:val="0DFA693B"/>
    <w:rsid w:val="0DFC7303"/>
    <w:rsid w:val="0DFF4B13"/>
    <w:rsid w:val="0E093416"/>
    <w:rsid w:val="0E0C3DDC"/>
    <w:rsid w:val="0E3756DF"/>
    <w:rsid w:val="0E3C6626"/>
    <w:rsid w:val="0E3D2E6B"/>
    <w:rsid w:val="0E402695"/>
    <w:rsid w:val="0E594720"/>
    <w:rsid w:val="0E5D33A0"/>
    <w:rsid w:val="0E6B26B6"/>
    <w:rsid w:val="0E6B4543"/>
    <w:rsid w:val="0E777792"/>
    <w:rsid w:val="0E7A2CD0"/>
    <w:rsid w:val="0E7B1FCA"/>
    <w:rsid w:val="0E7E7158"/>
    <w:rsid w:val="0E85325F"/>
    <w:rsid w:val="0E880E39"/>
    <w:rsid w:val="0E904E74"/>
    <w:rsid w:val="0E995783"/>
    <w:rsid w:val="0E9D025B"/>
    <w:rsid w:val="0EA8225F"/>
    <w:rsid w:val="0EA87B9E"/>
    <w:rsid w:val="0EBC11BB"/>
    <w:rsid w:val="0EBF433E"/>
    <w:rsid w:val="0EC927BE"/>
    <w:rsid w:val="0ECA2E90"/>
    <w:rsid w:val="0ED01837"/>
    <w:rsid w:val="0ED12131"/>
    <w:rsid w:val="0ED33A29"/>
    <w:rsid w:val="0EDF0476"/>
    <w:rsid w:val="0EE15B77"/>
    <w:rsid w:val="0EF3650F"/>
    <w:rsid w:val="0EF7535A"/>
    <w:rsid w:val="0EF97174"/>
    <w:rsid w:val="0EFD2E1E"/>
    <w:rsid w:val="0F0260AC"/>
    <w:rsid w:val="0F0F3D45"/>
    <w:rsid w:val="0F1C6C56"/>
    <w:rsid w:val="0F2550AA"/>
    <w:rsid w:val="0F3A116B"/>
    <w:rsid w:val="0F48005B"/>
    <w:rsid w:val="0F4B2361"/>
    <w:rsid w:val="0F511411"/>
    <w:rsid w:val="0F5D6236"/>
    <w:rsid w:val="0F703346"/>
    <w:rsid w:val="0F704FC5"/>
    <w:rsid w:val="0F7066E0"/>
    <w:rsid w:val="0F7B24F3"/>
    <w:rsid w:val="0F80004E"/>
    <w:rsid w:val="0F8640DB"/>
    <w:rsid w:val="0F871EAB"/>
    <w:rsid w:val="0F8D4823"/>
    <w:rsid w:val="0F9022FF"/>
    <w:rsid w:val="0F9F1528"/>
    <w:rsid w:val="0FAB700A"/>
    <w:rsid w:val="0FC03992"/>
    <w:rsid w:val="0FC96267"/>
    <w:rsid w:val="0FD51005"/>
    <w:rsid w:val="0FDB5D8F"/>
    <w:rsid w:val="0FDF5A14"/>
    <w:rsid w:val="0FE30C1D"/>
    <w:rsid w:val="1008703A"/>
    <w:rsid w:val="100F718A"/>
    <w:rsid w:val="10126FBC"/>
    <w:rsid w:val="101420A5"/>
    <w:rsid w:val="10295C4D"/>
    <w:rsid w:val="10297193"/>
    <w:rsid w:val="10345524"/>
    <w:rsid w:val="103809FF"/>
    <w:rsid w:val="103B4DE8"/>
    <w:rsid w:val="104344BA"/>
    <w:rsid w:val="1046543F"/>
    <w:rsid w:val="10580BDC"/>
    <w:rsid w:val="105B1B61"/>
    <w:rsid w:val="10600639"/>
    <w:rsid w:val="106C2409"/>
    <w:rsid w:val="10755F8E"/>
    <w:rsid w:val="10764104"/>
    <w:rsid w:val="10816F43"/>
    <w:rsid w:val="10894C2E"/>
    <w:rsid w:val="108B6D7B"/>
    <w:rsid w:val="108D3635"/>
    <w:rsid w:val="1096068D"/>
    <w:rsid w:val="10B951CF"/>
    <w:rsid w:val="10BB3068"/>
    <w:rsid w:val="10CB0F1B"/>
    <w:rsid w:val="10D82C05"/>
    <w:rsid w:val="10F81694"/>
    <w:rsid w:val="10F945B2"/>
    <w:rsid w:val="10FF266F"/>
    <w:rsid w:val="11061C8F"/>
    <w:rsid w:val="110E3EB6"/>
    <w:rsid w:val="11131D94"/>
    <w:rsid w:val="11137DE4"/>
    <w:rsid w:val="11144257"/>
    <w:rsid w:val="111778A8"/>
    <w:rsid w:val="111E4B32"/>
    <w:rsid w:val="1122192A"/>
    <w:rsid w:val="112315AA"/>
    <w:rsid w:val="1124277B"/>
    <w:rsid w:val="112A1125"/>
    <w:rsid w:val="112A3725"/>
    <w:rsid w:val="112C7D69"/>
    <w:rsid w:val="11454527"/>
    <w:rsid w:val="114731E5"/>
    <w:rsid w:val="11526A96"/>
    <w:rsid w:val="11617971"/>
    <w:rsid w:val="11622F64"/>
    <w:rsid w:val="116F4939"/>
    <w:rsid w:val="11846297"/>
    <w:rsid w:val="118660F9"/>
    <w:rsid w:val="11887CC9"/>
    <w:rsid w:val="118A7219"/>
    <w:rsid w:val="11922EE2"/>
    <w:rsid w:val="11A2517F"/>
    <w:rsid w:val="11A4040E"/>
    <w:rsid w:val="11AC730F"/>
    <w:rsid w:val="11AD4D58"/>
    <w:rsid w:val="11B13797"/>
    <w:rsid w:val="11B67206"/>
    <w:rsid w:val="11BA4661"/>
    <w:rsid w:val="11BA6A1A"/>
    <w:rsid w:val="11BF1687"/>
    <w:rsid w:val="11C70182"/>
    <w:rsid w:val="11E12C61"/>
    <w:rsid w:val="11E411C4"/>
    <w:rsid w:val="11E43DA7"/>
    <w:rsid w:val="11EB6DF4"/>
    <w:rsid w:val="11EE75FC"/>
    <w:rsid w:val="11FA0A55"/>
    <w:rsid w:val="11FA2349"/>
    <w:rsid w:val="12044AB3"/>
    <w:rsid w:val="120E02AD"/>
    <w:rsid w:val="12117034"/>
    <w:rsid w:val="12124AB5"/>
    <w:rsid w:val="121F3DCB"/>
    <w:rsid w:val="122E2D61"/>
    <w:rsid w:val="12342A01"/>
    <w:rsid w:val="123B6C22"/>
    <w:rsid w:val="123F12C9"/>
    <w:rsid w:val="12427803"/>
    <w:rsid w:val="12533BE9"/>
    <w:rsid w:val="125C03AD"/>
    <w:rsid w:val="126548EE"/>
    <w:rsid w:val="12672AB8"/>
    <w:rsid w:val="12714ACF"/>
    <w:rsid w:val="12817181"/>
    <w:rsid w:val="12892176"/>
    <w:rsid w:val="12921148"/>
    <w:rsid w:val="12966407"/>
    <w:rsid w:val="129B1196"/>
    <w:rsid w:val="129E41E5"/>
    <w:rsid w:val="129E6898"/>
    <w:rsid w:val="12A50021"/>
    <w:rsid w:val="12AA4BE9"/>
    <w:rsid w:val="12B20DBB"/>
    <w:rsid w:val="12B40A3B"/>
    <w:rsid w:val="12B757B8"/>
    <w:rsid w:val="12C003F7"/>
    <w:rsid w:val="12C7679B"/>
    <w:rsid w:val="12DD774D"/>
    <w:rsid w:val="12DF0986"/>
    <w:rsid w:val="12E20B88"/>
    <w:rsid w:val="12E2190B"/>
    <w:rsid w:val="130265BC"/>
    <w:rsid w:val="130378C1"/>
    <w:rsid w:val="13130905"/>
    <w:rsid w:val="13272F78"/>
    <w:rsid w:val="133D2F1E"/>
    <w:rsid w:val="133E4EC4"/>
    <w:rsid w:val="135C37D3"/>
    <w:rsid w:val="13627948"/>
    <w:rsid w:val="136404F3"/>
    <w:rsid w:val="136818E0"/>
    <w:rsid w:val="137E2663"/>
    <w:rsid w:val="13915834"/>
    <w:rsid w:val="13B61E8E"/>
    <w:rsid w:val="13BF21F2"/>
    <w:rsid w:val="13C23A1B"/>
    <w:rsid w:val="13C41752"/>
    <w:rsid w:val="13C72FD3"/>
    <w:rsid w:val="13C76244"/>
    <w:rsid w:val="13C82B02"/>
    <w:rsid w:val="13CF28FB"/>
    <w:rsid w:val="13D057B7"/>
    <w:rsid w:val="13DA7C15"/>
    <w:rsid w:val="13E001A9"/>
    <w:rsid w:val="13E02727"/>
    <w:rsid w:val="13E52432"/>
    <w:rsid w:val="13E905BF"/>
    <w:rsid w:val="13EA2C90"/>
    <w:rsid w:val="13EA5E5F"/>
    <w:rsid w:val="13F83651"/>
    <w:rsid w:val="14052967"/>
    <w:rsid w:val="14054F72"/>
    <w:rsid w:val="140F27D6"/>
    <w:rsid w:val="14107AE9"/>
    <w:rsid w:val="14175E0A"/>
    <w:rsid w:val="141C258C"/>
    <w:rsid w:val="141E1102"/>
    <w:rsid w:val="141F1BA5"/>
    <w:rsid w:val="142007B3"/>
    <w:rsid w:val="14216A14"/>
    <w:rsid w:val="1423579A"/>
    <w:rsid w:val="14254028"/>
    <w:rsid w:val="142A2204"/>
    <w:rsid w:val="14461DA9"/>
    <w:rsid w:val="144B6FBB"/>
    <w:rsid w:val="1451723E"/>
    <w:rsid w:val="14634805"/>
    <w:rsid w:val="146A14F7"/>
    <w:rsid w:val="1472255F"/>
    <w:rsid w:val="147719A1"/>
    <w:rsid w:val="14782396"/>
    <w:rsid w:val="1479577A"/>
    <w:rsid w:val="147C16AC"/>
    <w:rsid w:val="147E5426"/>
    <w:rsid w:val="148942E3"/>
    <w:rsid w:val="148B031E"/>
    <w:rsid w:val="148E2DB2"/>
    <w:rsid w:val="14912A67"/>
    <w:rsid w:val="1492597B"/>
    <w:rsid w:val="14927FCC"/>
    <w:rsid w:val="14AC25B0"/>
    <w:rsid w:val="14AE0BED"/>
    <w:rsid w:val="14AF303C"/>
    <w:rsid w:val="14AF4133"/>
    <w:rsid w:val="14BC4717"/>
    <w:rsid w:val="14BE55AD"/>
    <w:rsid w:val="14C355CD"/>
    <w:rsid w:val="14D4220A"/>
    <w:rsid w:val="14E13279"/>
    <w:rsid w:val="14E52CFF"/>
    <w:rsid w:val="14E80346"/>
    <w:rsid w:val="14EC699A"/>
    <w:rsid w:val="1501033F"/>
    <w:rsid w:val="1502113A"/>
    <w:rsid w:val="151308D4"/>
    <w:rsid w:val="1525202B"/>
    <w:rsid w:val="15281376"/>
    <w:rsid w:val="152D5C4C"/>
    <w:rsid w:val="15362A23"/>
    <w:rsid w:val="154001A6"/>
    <w:rsid w:val="15422545"/>
    <w:rsid w:val="15435BF2"/>
    <w:rsid w:val="155B339E"/>
    <w:rsid w:val="15636A1F"/>
    <w:rsid w:val="156508EF"/>
    <w:rsid w:val="1568542B"/>
    <w:rsid w:val="15693006"/>
    <w:rsid w:val="156A222E"/>
    <w:rsid w:val="15716A99"/>
    <w:rsid w:val="157177C3"/>
    <w:rsid w:val="1581047E"/>
    <w:rsid w:val="15895642"/>
    <w:rsid w:val="15A444EB"/>
    <w:rsid w:val="15A93017"/>
    <w:rsid w:val="15AC3F9C"/>
    <w:rsid w:val="15B0540D"/>
    <w:rsid w:val="15B10740"/>
    <w:rsid w:val="15B47AB3"/>
    <w:rsid w:val="15B7532E"/>
    <w:rsid w:val="15BB043C"/>
    <w:rsid w:val="15C164C0"/>
    <w:rsid w:val="15C84147"/>
    <w:rsid w:val="15CA017F"/>
    <w:rsid w:val="15D64DE0"/>
    <w:rsid w:val="15D71AD5"/>
    <w:rsid w:val="15DC38C2"/>
    <w:rsid w:val="15E211F7"/>
    <w:rsid w:val="15E33BD2"/>
    <w:rsid w:val="15E40C88"/>
    <w:rsid w:val="15F23B4A"/>
    <w:rsid w:val="15FC08F6"/>
    <w:rsid w:val="16050CCE"/>
    <w:rsid w:val="160B706E"/>
    <w:rsid w:val="160F4041"/>
    <w:rsid w:val="16175D54"/>
    <w:rsid w:val="162503E3"/>
    <w:rsid w:val="162B4831"/>
    <w:rsid w:val="163D5A89"/>
    <w:rsid w:val="1646133C"/>
    <w:rsid w:val="165752E8"/>
    <w:rsid w:val="16591B36"/>
    <w:rsid w:val="165931D9"/>
    <w:rsid w:val="16635CC9"/>
    <w:rsid w:val="16682D3E"/>
    <w:rsid w:val="167046E9"/>
    <w:rsid w:val="16773DD0"/>
    <w:rsid w:val="167C0DF1"/>
    <w:rsid w:val="167E382D"/>
    <w:rsid w:val="167F379B"/>
    <w:rsid w:val="1680302E"/>
    <w:rsid w:val="168E2390"/>
    <w:rsid w:val="16980722"/>
    <w:rsid w:val="169A04A0"/>
    <w:rsid w:val="169D6A46"/>
    <w:rsid w:val="16A6304D"/>
    <w:rsid w:val="16D61758"/>
    <w:rsid w:val="16DC0535"/>
    <w:rsid w:val="16EB272A"/>
    <w:rsid w:val="16EB60B5"/>
    <w:rsid w:val="16EF74E9"/>
    <w:rsid w:val="16F27D5E"/>
    <w:rsid w:val="170716B6"/>
    <w:rsid w:val="1707417F"/>
    <w:rsid w:val="170A3ED8"/>
    <w:rsid w:val="17126D66"/>
    <w:rsid w:val="17165852"/>
    <w:rsid w:val="171C7676"/>
    <w:rsid w:val="17241925"/>
    <w:rsid w:val="1731761B"/>
    <w:rsid w:val="17332ADC"/>
    <w:rsid w:val="173D4671"/>
    <w:rsid w:val="1743129B"/>
    <w:rsid w:val="1748083E"/>
    <w:rsid w:val="174A1E03"/>
    <w:rsid w:val="17553F9F"/>
    <w:rsid w:val="175623CE"/>
    <w:rsid w:val="176538DA"/>
    <w:rsid w:val="176645F2"/>
    <w:rsid w:val="1794775D"/>
    <w:rsid w:val="17B953F3"/>
    <w:rsid w:val="17C376AD"/>
    <w:rsid w:val="17CB4905"/>
    <w:rsid w:val="17CD749A"/>
    <w:rsid w:val="17CF4183"/>
    <w:rsid w:val="17D01F3A"/>
    <w:rsid w:val="17D46E24"/>
    <w:rsid w:val="17DA01E6"/>
    <w:rsid w:val="17DB3BDE"/>
    <w:rsid w:val="17DB67AF"/>
    <w:rsid w:val="17DC7DAF"/>
    <w:rsid w:val="17DD1CB2"/>
    <w:rsid w:val="17DF40F7"/>
    <w:rsid w:val="17EE0FBD"/>
    <w:rsid w:val="17EF0CD3"/>
    <w:rsid w:val="17F01ECF"/>
    <w:rsid w:val="17F0662B"/>
    <w:rsid w:val="18061CD6"/>
    <w:rsid w:val="1809187D"/>
    <w:rsid w:val="180E4FC5"/>
    <w:rsid w:val="18171331"/>
    <w:rsid w:val="1824372C"/>
    <w:rsid w:val="18266C2F"/>
    <w:rsid w:val="18396192"/>
    <w:rsid w:val="184A4BE3"/>
    <w:rsid w:val="184A54E3"/>
    <w:rsid w:val="185060EC"/>
    <w:rsid w:val="185A42FA"/>
    <w:rsid w:val="185C3885"/>
    <w:rsid w:val="18717FA7"/>
    <w:rsid w:val="18747CDC"/>
    <w:rsid w:val="187E568C"/>
    <w:rsid w:val="18816044"/>
    <w:rsid w:val="18870C54"/>
    <w:rsid w:val="18882132"/>
    <w:rsid w:val="189D2207"/>
    <w:rsid w:val="189F08D1"/>
    <w:rsid w:val="18A45C40"/>
    <w:rsid w:val="18A57A6A"/>
    <w:rsid w:val="18A768A8"/>
    <w:rsid w:val="18B43EE8"/>
    <w:rsid w:val="18B9619D"/>
    <w:rsid w:val="18CF7A5D"/>
    <w:rsid w:val="18D57338"/>
    <w:rsid w:val="18D8074F"/>
    <w:rsid w:val="18DA4154"/>
    <w:rsid w:val="18E21560"/>
    <w:rsid w:val="18E24F5C"/>
    <w:rsid w:val="18E96032"/>
    <w:rsid w:val="18EB61E0"/>
    <w:rsid w:val="18EC15F6"/>
    <w:rsid w:val="18EE62E8"/>
    <w:rsid w:val="18F845CE"/>
    <w:rsid w:val="18F96461"/>
    <w:rsid w:val="1906629D"/>
    <w:rsid w:val="19116F8E"/>
    <w:rsid w:val="1914310D"/>
    <w:rsid w:val="191477B1"/>
    <w:rsid w:val="19266C5A"/>
    <w:rsid w:val="19551A74"/>
    <w:rsid w:val="195F7D63"/>
    <w:rsid w:val="19601E2E"/>
    <w:rsid w:val="196E49C7"/>
    <w:rsid w:val="197C2433"/>
    <w:rsid w:val="198606C0"/>
    <w:rsid w:val="19933139"/>
    <w:rsid w:val="19AC4F46"/>
    <w:rsid w:val="19D57461"/>
    <w:rsid w:val="19E567BF"/>
    <w:rsid w:val="19E74602"/>
    <w:rsid w:val="19EA1D92"/>
    <w:rsid w:val="19EE7D0B"/>
    <w:rsid w:val="1A0639B0"/>
    <w:rsid w:val="1A077D86"/>
    <w:rsid w:val="1A081343"/>
    <w:rsid w:val="1A085685"/>
    <w:rsid w:val="1A12477C"/>
    <w:rsid w:val="1A1254D5"/>
    <w:rsid w:val="1A191F3E"/>
    <w:rsid w:val="1A225770"/>
    <w:rsid w:val="1A2A2B7C"/>
    <w:rsid w:val="1A3B0C79"/>
    <w:rsid w:val="1A4A567E"/>
    <w:rsid w:val="1A4D4035"/>
    <w:rsid w:val="1A5163D6"/>
    <w:rsid w:val="1A54768F"/>
    <w:rsid w:val="1A566EC3"/>
    <w:rsid w:val="1A5A669E"/>
    <w:rsid w:val="1A6A5CDF"/>
    <w:rsid w:val="1A6D2CE0"/>
    <w:rsid w:val="1A79617E"/>
    <w:rsid w:val="1A796C32"/>
    <w:rsid w:val="1A83450F"/>
    <w:rsid w:val="1A8C57B1"/>
    <w:rsid w:val="1A9853AE"/>
    <w:rsid w:val="1A9A4135"/>
    <w:rsid w:val="1AB6495E"/>
    <w:rsid w:val="1AB9028C"/>
    <w:rsid w:val="1AC56317"/>
    <w:rsid w:val="1AD471EE"/>
    <w:rsid w:val="1AD6319E"/>
    <w:rsid w:val="1AD73F99"/>
    <w:rsid w:val="1AE5062C"/>
    <w:rsid w:val="1AE71464"/>
    <w:rsid w:val="1B1378A1"/>
    <w:rsid w:val="1B294C9D"/>
    <w:rsid w:val="1B2B7228"/>
    <w:rsid w:val="1B3F22DB"/>
    <w:rsid w:val="1B4A0A55"/>
    <w:rsid w:val="1B4B651F"/>
    <w:rsid w:val="1B585C3E"/>
    <w:rsid w:val="1B5C41F3"/>
    <w:rsid w:val="1B777BC9"/>
    <w:rsid w:val="1B7D10D5"/>
    <w:rsid w:val="1B8D6B92"/>
    <w:rsid w:val="1B90327A"/>
    <w:rsid w:val="1B936CD6"/>
    <w:rsid w:val="1B9379C1"/>
    <w:rsid w:val="1B990279"/>
    <w:rsid w:val="1B9B4E1C"/>
    <w:rsid w:val="1B9C50E9"/>
    <w:rsid w:val="1BA04CC7"/>
    <w:rsid w:val="1BAA5FDD"/>
    <w:rsid w:val="1BAD4429"/>
    <w:rsid w:val="1BB80557"/>
    <w:rsid w:val="1BBC1606"/>
    <w:rsid w:val="1BBC1F56"/>
    <w:rsid w:val="1BD91A80"/>
    <w:rsid w:val="1BE641ED"/>
    <w:rsid w:val="1BEE30A8"/>
    <w:rsid w:val="1BF24F3D"/>
    <w:rsid w:val="1BF5780F"/>
    <w:rsid w:val="1BFD5FA2"/>
    <w:rsid w:val="1C0B0B13"/>
    <w:rsid w:val="1C17197B"/>
    <w:rsid w:val="1C1D36F1"/>
    <w:rsid w:val="1C291BAA"/>
    <w:rsid w:val="1C3730C8"/>
    <w:rsid w:val="1C386892"/>
    <w:rsid w:val="1C404465"/>
    <w:rsid w:val="1C4A2683"/>
    <w:rsid w:val="1C5043AD"/>
    <w:rsid w:val="1C5A1B35"/>
    <w:rsid w:val="1C5B6314"/>
    <w:rsid w:val="1C5F292D"/>
    <w:rsid w:val="1C5F3B2B"/>
    <w:rsid w:val="1C5F4D1A"/>
    <w:rsid w:val="1C631E26"/>
    <w:rsid w:val="1C7530BF"/>
    <w:rsid w:val="1C833C55"/>
    <w:rsid w:val="1C916922"/>
    <w:rsid w:val="1C9A167C"/>
    <w:rsid w:val="1CA5548E"/>
    <w:rsid w:val="1CAC1596"/>
    <w:rsid w:val="1CB42226"/>
    <w:rsid w:val="1CBC5611"/>
    <w:rsid w:val="1CD22EF6"/>
    <w:rsid w:val="1CD7177C"/>
    <w:rsid w:val="1CE479B7"/>
    <w:rsid w:val="1CF005FD"/>
    <w:rsid w:val="1CF20E5C"/>
    <w:rsid w:val="1CF6531E"/>
    <w:rsid w:val="1CF73467"/>
    <w:rsid w:val="1D072AAC"/>
    <w:rsid w:val="1D0B195E"/>
    <w:rsid w:val="1D243745"/>
    <w:rsid w:val="1D326AA2"/>
    <w:rsid w:val="1D353A79"/>
    <w:rsid w:val="1D3570D5"/>
    <w:rsid w:val="1D3B1205"/>
    <w:rsid w:val="1D4E0EB2"/>
    <w:rsid w:val="1D520E2A"/>
    <w:rsid w:val="1D5F3EE4"/>
    <w:rsid w:val="1D6567C6"/>
    <w:rsid w:val="1D6934AB"/>
    <w:rsid w:val="1D693FA7"/>
    <w:rsid w:val="1D6C05DE"/>
    <w:rsid w:val="1D7D6636"/>
    <w:rsid w:val="1D7F7370"/>
    <w:rsid w:val="1D8273D4"/>
    <w:rsid w:val="1D8B6A06"/>
    <w:rsid w:val="1D8D0962"/>
    <w:rsid w:val="1D8F4E65"/>
    <w:rsid w:val="1DB553DF"/>
    <w:rsid w:val="1DBF1882"/>
    <w:rsid w:val="1DC70ACB"/>
    <w:rsid w:val="1DCE2972"/>
    <w:rsid w:val="1DD941F6"/>
    <w:rsid w:val="1DF17BE1"/>
    <w:rsid w:val="1DF32B81"/>
    <w:rsid w:val="1DF660B5"/>
    <w:rsid w:val="1DFC1393"/>
    <w:rsid w:val="1E1259E5"/>
    <w:rsid w:val="1E1A0873"/>
    <w:rsid w:val="1E1E39F6"/>
    <w:rsid w:val="1E1F7738"/>
    <w:rsid w:val="1E366767"/>
    <w:rsid w:val="1E4719A3"/>
    <w:rsid w:val="1E572FAE"/>
    <w:rsid w:val="1E5E2D02"/>
    <w:rsid w:val="1E5F1F97"/>
    <w:rsid w:val="1E685BCF"/>
    <w:rsid w:val="1E6C5F4E"/>
    <w:rsid w:val="1E800F1B"/>
    <w:rsid w:val="1E8E1E01"/>
    <w:rsid w:val="1E957FB3"/>
    <w:rsid w:val="1E9D4347"/>
    <w:rsid w:val="1E9E304B"/>
    <w:rsid w:val="1EA65561"/>
    <w:rsid w:val="1EA75ED9"/>
    <w:rsid w:val="1EAD4127"/>
    <w:rsid w:val="1EAE478E"/>
    <w:rsid w:val="1EB41D2D"/>
    <w:rsid w:val="1EB70BD9"/>
    <w:rsid w:val="1EB8797A"/>
    <w:rsid w:val="1EBF418B"/>
    <w:rsid w:val="1EBF505E"/>
    <w:rsid w:val="1EC7640D"/>
    <w:rsid w:val="1EDA6C33"/>
    <w:rsid w:val="1EEB081F"/>
    <w:rsid w:val="1EEC719E"/>
    <w:rsid w:val="1EEF3076"/>
    <w:rsid w:val="1EF7018A"/>
    <w:rsid w:val="1EF93593"/>
    <w:rsid w:val="1EF949F7"/>
    <w:rsid w:val="1F0242AA"/>
    <w:rsid w:val="1F044236"/>
    <w:rsid w:val="1F0E46BB"/>
    <w:rsid w:val="1F16618C"/>
    <w:rsid w:val="1F1A4B93"/>
    <w:rsid w:val="1F25251D"/>
    <w:rsid w:val="1F2951AD"/>
    <w:rsid w:val="1F2A1FB1"/>
    <w:rsid w:val="1F2B5438"/>
    <w:rsid w:val="1F2C5E9D"/>
    <w:rsid w:val="1F377BCE"/>
    <w:rsid w:val="1F383249"/>
    <w:rsid w:val="1F390590"/>
    <w:rsid w:val="1F3E2BDD"/>
    <w:rsid w:val="1F4108A7"/>
    <w:rsid w:val="1F424A01"/>
    <w:rsid w:val="1F4C6748"/>
    <w:rsid w:val="1F520570"/>
    <w:rsid w:val="1F595467"/>
    <w:rsid w:val="1F5B2F4F"/>
    <w:rsid w:val="1F5C06A1"/>
    <w:rsid w:val="1F8232BD"/>
    <w:rsid w:val="1F890898"/>
    <w:rsid w:val="1F8C7450"/>
    <w:rsid w:val="1FAF2E88"/>
    <w:rsid w:val="1FB80942"/>
    <w:rsid w:val="1FBB5482"/>
    <w:rsid w:val="1FC11EA9"/>
    <w:rsid w:val="1FC30E74"/>
    <w:rsid w:val="1FD45A77"/>
    <w:rsid w:val="1FD473C2"/>
    <w:rsid w:val="1FF977BD"/>
    <w:rsid w:val="2001262E"/>
    <w:rsid w:val="2008253C"/>
    <w:rsid w:val="200D64BE"/>
    <w:rsid w:val="20153599"/>
    <w:rsid w:val="20172295"/>
    <w:rsid w:val="201B2789"/>
    <w:rsid w:val="20256516"/>
    <w:rsid w:val="20286E13"/>
    <w:rsid w:val="204F4F90"/>
    <w:rsid w:val="20584BED"/>
    <w:rsid w:val="205B68F3"/>
    <w:rsid w:val="20CB0AB1"/>
    <w:rsid w:val="20D60AAE"/>
    <w:rsid w:val="20EE5FF8"/>
    <w:rsid w:val="20F215C4"/>
    <w:rsid w:val="20FE18CB"/>
    <w:rsid w:val="21061BA2"/>
    <w:rsid w:val="2112512E"/>
    <w:rsid w:val="2121427E"/>
    <w:rsid w:val="21262CBA"/>
    <w:rsid w:val="212B1C97"/>
    <w:rsid w:val="21323004"/>
    <w:rsid w:val="21361FB5"/>
    <w:rsid w:val="213A5FD8"/>
    <w:rsid w:val="214B3D89"/>
    <w:rsid w:val="214E3823"/>
    <w:rsid w:val="21575426"/>
    <w:rsid w:val="215C1F77"/>
    <w:rsid w:val="216B0BDF"/>
    <w:rsid w:val="2177769E"/>
    <w:rsid w:val="218019AE"/>
    <w:rsid w:val="218940EF"/>
    <w:rsid w:val="218E620A"/>
    <w:rsid w:val="21AB5CB4"/>
    <w:rsid w:val="21AE7F70"/>
    <w:rsid w:val="21B22658"/>
    <w:rsid w:val="21C565C2"/>
    <w:rsid w:val="21D01C09"/>
    <w:rsid w:val="21D25FF2"/>
    <w:rsid w:val="21D41512"/>
    <w:rsid w:val="21F52495"/>
    <w:rsid w:val="21F70210"/>
    <w:rsid w:val="221D6C29"/>
    <w:rsid w:val="22207409"/>
    <w:rsid w:val="222A0600"/>
    <w:rsid w:val="22344A9E"/>
    <w:rsid w:val="22363269"/>
    <w:rsid w:val="223A3836"/>
    <w:rsid w:val="223C2DAF"/>
    <w:rsid w:val="223E2651"/>
    <w:rsid w:val="2248503C"/>
    <w:rsid w:val="224E39C0"/>
    <w:rsid w:val="225F01F3"/>
    <w:rsid w:val="22616311"/>
    <w:rsid w:val="22635774"/>
    <w:rsid w:val="226575C4"/>
    <w:rsid w:val="22682C5C"/>
    <w:rsid w:val="22685C08"/>
    <w:rsid w:val="226D3EEA"/>
    <w:rsid w:val="226E077B"/>
    <w:rsid w:val="2291610E"/>
    <w:rsid w:val="22923DE9"/>
    <w:rsid w:val="229473C8"/>
    <w:rsid w:val="22956F09"/>
    <w:rsid w:val="22962F20"/>
    <w:rsid w:val="22973417"/>
    <w:rsid w:val="229D5794"/>
    <w:rsid w:val="22A379E2"/>
    <w:rsid w:val="22A85F23"/>
    <w:rsid w:val="22C17DB5"/>
    <w:rsid w:val="22C629AC"/>
    <w:rsid w:val="22DD27AA"/>
    <w:rsid w:val="22DE0AC1"/>
    <w:rsid w:val="22DE2AD5"/>
    <w:rsid w:val="22E84C54"/>
    <w:rsid w:val="22E96F92"/>
    <w:rsid w:val="22EB45C5"/>
    <w:rsid w:val="22FE0FF6"/>
    <w:rsid w:val="23060CEA"/>
    <w:rsid w:val="230D3451"/>
    <w:rsid w:val="230E5678"/>
    <w:rsid w:val="23171F20"/>
    <w:rsid w:val="231E3E4A"/>
    <w:rsid w:val="23257653"/>
    <w:rsid w:val="23286FD1"/>
    <w:rsid w:val="233B46DE"/>
    <w:rsid w:val="234022F3"/>
    <w:rsid w:val="23441FFA"/>
    <w:rsid w:val="234B3276"/>
    <w:rsid w:val="237422B9"/>
    <w:rsid w:val="23745055"/>
    <w:rsid w:val="23773623"/>
    <w:rsid w:val="2377693D"/>
    <w:rsid w:val="23921869"/>
    <w:rsid w:val="23943633"/>
    <w:rsid w:val="239F724D"/>
    <w:rsid w:val="23A14082"/>
    <w:rsid w:val="23AB1721"/>
    <w:rsid w:val="23C46955"/>
    <w:rsid w:val="23C579E4"/>
    <w:rsid w:val="23D47D54"/>
    <w:rsid w:val="23D744C2"/>
    <w:rsid w:val="23DB4EDC"/>
    <w:rsid w:val="23DF1969"/>
    <w:rsid w:val="23EF0BE1"/>
    <w:rsid w:val="24002E5E"/>
    <w:rsid w:val="240366A5"/>
    <w:rsid w:val="240A022E"/>
    <w:rsid w:val="240A3AB2"/>
    <w:rsid w:val="241370E7"/>
    <w:rsid w:val="24184673"/>
    <w:rsid w:val="242136F5"/>
    <w:rsid w:val="243A3680"/>
    <w:rsid w:val="2445130D"/>
    <w:rsid w:val="244C451B"/>
    <w:rsid w:val="245A6743"/>
    <w:rsid w:val="246A08B9"/>
    <w:rsid w:val="24754B15"/>
    <w:rsid w:val="247860CE"/>
    <w:rsid w:val="247B459F"/>
    <w:rsid w:val="247E276B"/>
    <w:rsid w:val="247F64CC"/>
    <w:rsid w:val="24836BF3"/>
    <w:rsid w:val="248674BE"/>
    <w:rsid w:val="248D420D"/>
    <w:rsid w:val="24921B27"/>
    <w:rsid w:val="24990D97"/>
    <w:rsid w:val="249E0DC7"/>
    <w:rsid w:val="249E776E"/>
    <w:rsid w:val="24A0121D"/>
    <w:rsid w:val="24AE3BA0"/>
    <w:rsid w:val="24B97631"/>
    <w:rsid w:val="24BD3555"/>
    <w:rsid w:val="24BE6532"/>
    <w:rsid w:val="24C90419"/>
    <w:rsid w:val="24CD087B"/>
    <w:rsid w:val="24E22490"/>
    <w:rsid w:val="24E32289"/>
    <w:rsid w:val="24E9569E"/>
    <w:rsid w:val="24ED1C1E"/>
    <w:rsid w:val="24F0284D"/>
    <w:rsid w:val="24F35105"/>
    <w:rsid w:val="2501142A"/>
    <w:rsid w:val="250C32D4"/>
    <w:rsid w:val="250E20E4"/>
    <w:rsid w:val="25120691"/>
    <w:rsid w:val="251A40CA"/>
    <w:rsid w:val="251B38EF"/>
    <w:rsid w:val="25202C91"/>
    <w:rsid w:val="252331A5"/>
    <w:rsid w:val="25255254"/>
    <w:rsid w:val="252733A0"/>
    <w:rsid w:val="252D0D5E"/>
    <w:rsid w:val="25316995"/>
    <w:rsid w:val="25392E9F"/>
    <w:rsid w:val="25425A19"/>
    <w:rsid w:val="25437031"/>
    <w:rsid w:val="25446CB1"/>
    <w:rsid w:val="25490B3E"/>
    <w:rsid w:val="254F5042"/>
    <w:rsid w:val="255A445E"/>
    <w:rsid w:val="25633CE3"/>
    <w:rsid w:val="25660EB1"/>
    <w:rsid w:val="256F1A53"/>
    <w:rsid w:val="25710087"/>
    <w:rsid w:val="2579170A"/>
    <w:rsid w:val="258B2F2B"/>
    <w:rsid w:val="258B31A0"/>
    <w:rsid w:val="25997A40"/>
    <w:rsid w:val="25AB3D1C"/>
    <w:rsid w:val="25AD773E"/>
    <w:rsid w:val="25BD0D5A"/>
    <w:rsid w:val="25C93B2C"/>
    <w:rsid w:val="25CA79D3"/>
    <w:rsid w:val="25D141DA"/>
    <w:rsid w:val="25D90A1B"/>
    <w:rsid w:val="25E22192"/>
    <w:rsid w:val="25E25630"/>
    <w:rsid w:val="25E37AB4"/>
    <w:rsid w:val="25E75557"/>
    <w:rsid w:val="25EB519E"/>
    <w:rsid w:val="25F332FF"/>
    <w:rsid w:val="25FE37D6"/>
    <w:rsid w:val="260B31F7"/>
    <w:rsid w:val="260D72CA"/>
    <w:rsid w:val="26274BB6"/>
    <w:rsid w:val="26307BB3"/>
    <w:rsid w:val="26356536"/>
    <w:rsid w:val="263C67ED"/>
    <w:rsid w:val="26414073"/>
    <w:rsid w:val="265B4E67"/>
    <w:rsid w:val="26613C06"/>
    <w:rsid w:val="266900A5"/>
    <w:rsid w:val="266A6A94"/>
    <w:rsid w:val="267B581D"/>
    <w:rsid w:val="267D046D"/>
    <w:rsid w:val="268B243A"/>
    <w:rsid w:val="268B66D1"/>
    <w:rsid w:val="268F6DE0"/>
    <w:rsid w:val="269A1027"/>
    <w:rsid w:val="269C627F"/>
    <w:rsid w:val="26A6403E"/>
    <w:rsid w:val="26AA20D3"/>
    <w:rsid w:val="26AB6FD3"/>
    <w:rsid w:val="26B43DCE"/>
    <w:rsid w:val="26B92096"/>
    <w:rsid w:val="26BA4865"/>
    <w:rsid w:val="26C705B0"/>
    <w:rsid w:val="26D903CC"/>
    <w:rsid w:val="26D95783"/>
    <w:rsid w:val="26DD3B73"/>
    <w:rsid w:val="26E576C7"/>
    <w:rsid w:val="26E63E5F"/>
    <w:rsid w:val="26E86041"/>
    <w:rsid w:val="26F04260"/>
    <w:rsid w:val="26F81EB4"/>
    <w:rsid w:val="26FB2F1B"/>
    <w:rsid w:val="27075A64"/>
    <w:rsid w:val="270B5A07"/>
    <w:rsid w:val="270F5023"/>
    <w:rsid w:val="27173613"/>
    <w:rsid w:val="271E1C7E"/>
    <w:rsid w:val="27310B9A"/>
    <w:rsid w:val="273E1C11"/>
    <w:rsid w:val="27490C18"/>
    <w:rsid w:val="27511867"/>
    <w:rsid w:val="275265C3"/>
    <w:rsid w:val="27567996"/>
    <w:rsid w:val="275E4DA2"/>
    <w:rsid w:val="27657FB0"/>
    <w:rsid w:val="276B112C"/>
    <w:rsid w:val="27815619"/>
    <w:rsid w:val="27836BEF"/>
    <w:rsid w:val="278E3373"/>
    <w:rsid w:val="279664C8"/>
    <w:rsid w:val="279E214A"/>
    <w:rsid w:val="279E2679"/>
    <w:rsid w:val="279F554C"/>
    <w:rsid w:val="27AD7087"/>
    <w:rsid w:val="27CF3DDC"/>
    <w:rsid w:val="27D37390"/>
    <w:rsid w:val="27D65541"/>
    <w:rsid w:val="27D76E3B"/>
    <w:rsid w:val="27DF76E4"/>
    <w:rsid w:val="27E32A7D"/>
    <w:rsid w:val="27EC5FCE"/>
    <w:rsid w:val="28011BEC"/>
    <w:rsid w:val="282D51CC"/>
    <w:rsid w:val="28372507"/>
    <w:rsid w:val="2841669A"/>
    <w:rsid w:val="284F59AF"/>
    <w:rsid w:val="28583306"/>
    <w:rsid w:val="286651CF"/>
    <w:rsid w:val="28671C46"/>
    <w:rsid w:val="286D1BDB"/>
    <w:rsid w:val="287326EC"/>
    <w:rsid w:val="2897657D"/>
    <w:rsid w:val="2899000A"/>
    <w:rsid w:val="28A028D3"/>
    <w:rsid w:val="28A066B3"/>
    <w:rsid w:val="28A56196"/>
    <w:rsid w:val="28AB19F4"/>
    <w:rsid w:val="28AC5D49"/>
    <w:rsid w:val="28CD1B01"/>
    <w:rsid w:val="28D71E0B"/>
    <w:rsid w:val="28DC39BE"/>
    <w:rsid w:val="28DC6898"/>
    <w:rsid w:val="28DD5BCB"/>
    <w:rsid w:val="28E01F8A"/>
    <w:rsid w:val="28EE46CA"/>
    <w:rsid w:val="28F045AC"/>
    <w:rsid w:val="28FB50B6"/>
    <w:rsid w:val="290057D3"/>
    <w:rsid w:val="290A1D57"/>
    <w:rsid w:val="290B3B64"/>
    <w:rsid w:val="291064E1"/>
    <w:rsid w:val="29144474"/>
    <w:rsid w:val="2916007F"/>
    <w:rsid w:val="291D583E"/>
    <w:rsid w:val="292D117C"/>
    <w:rsid w:val="29446488"/>
    <w:rsid w:val="294B6B4C"/>
    <w:rsid w:val="294C12BF"/>
    <w:rsid w:val="295127EC"/>
    <w:rsid w:val="29602BC4"/>
    <w:rsid w:val="29610CF0"/>
    <w:rsid w:val="296576F6"/>
    <w:rsid w:val="296A4B2B"/>
    <w:rsid w:val="29713584"/>
    <w:rsid w:val="29870F2F"/>
    <w:rsid w:val="298F0A9C"/>
    <w:rsid w:val="299760C7"/>
    <w:rsid w:val="2999350D"/>
    <w:rsid w:val="299E7E78"/>
    <w:rsid w:val="29AB7E6A"/>
    <w:rsid w:val="29AE0DEF"/>
    <w:rsid w:val="29B30AFA"/>
    <w:rsid w:val="29B66771"/>
    <w:rsid w:val="29B759BC"/>
    <w:rsid w:val="29B84793"/>
    <w:rsid w:val="29BB777B"/>
    <w:rsid w:val="29BE1363"/>
    <w:rsid w:val="29D60A95"/>
    <w:rsid w:val="29D94FA1"/>
    <w:rsid w:val="29E0703F"/>
    <w:rsid w:val="29E31604"/>
    <w:rsid w:val="29E87CCF"/>
    <w:rsid w:val="29F87E04"/>
    <w:rsid w:val="2A0A04AA"/>
    <w:rsid w:val="2A104B2B"/>
    <w:rsid w:val="2A1A7BC7"/>
    <w:rsid w:val="2A1F23A7"/>
    <w:rsid w:val="2A2036AC"/>
    <w:rsid w:val="2A220C75"/>
    <w:rsid w:val="2A226BAF"/>
    <w:rsid w:val="2A27047E"/>
    <w:rsid w:val="2A2D73EC"/>
    <w:rsid w:val="2A2E4CEB"/>
    <w:rsid w:val="2A346ACA"/>
    <w:rsid w:val="2A357DCE"/>
    <w:rsid w:val="2A3B565F"/>
    <w:rsid w:val="2A4031A5"/>
    <w:rsid w:val="2A4B2109"/>
    <w:rsid w:val="2A4B2E17"/>
    <w:rsid w:val="2A5C72C7"/>
    <w:rsid w:val="2A653259"/>
    <w:rsid w:val="2A6F194E"/>
    <w:rsid w:val="2A77779C"/>
    <w:rsid w:val="2A790D15"/>
    <w:rsid w:val="2A8F4841"/>
    <w:rsid w:val="2A916E63"/>
    <w:rsid w:val="2A97379F"/>
    <w:rsid w:val="2A9D7267"/>
    <w:rsid w:val="2AA047B5"/>
    <w:rsid w:val="2AA07A18"/>
    <w:rsid w:val="2AA34B7F"/>
    <w:rsid w:val="2AA369DD"/>
    <w:rsid w:val="2AAF4F9A"/>
    <w:rsid w:val="2AB22C9A"/>
    <w:rsid w:val="2AB3386F"/>
    <w:rsid w:val="2AB84B24"/>
    <w:rsid w:val="2AD06022"/>
    <w:rsid w:val="2AD63975"/>
    <w:rsid w:val="2ADB4987"/>
    <w:rsid w:val="2ADD1B0D"/>
    <w:rsid w:val="2ADF2DC8"/>
    <w:rsid w:val="2AE64773"/>
    <w:rsid w:val="2AE952F3"/>
    <w:rsid w:val="2AEC47FC"/>
    <w:rsid w:val="2AF1331E"/>
    <w:rsid w:val="2AF81BE3"/>
    <w:rsid w:val="2AF926C9"/>
    <w:rsid w:val="2AFA02A2"/>
    <w:rsid w:val="2AFF23A5"/>
    <w:rsid w:val="2B282245"/>
    <w:rsid w:val="2B2F0188"/>
    <w:rsid w:val="2B361003"/>
    <w:rsid w:val="2B3762A6"/>
    <w:rsid w:val="2B3C6641"/>
    <w:rsid w:val="2B3F0D39"/>
    <w:rsid w:val="2B4B7916"/>
    <w:rsid w:val="2B4E2A99"/>
    <w:rsid w:val="2B5B0F6E"/>
    <w:rsid w:val="2B605B83"/>
    <w:rsid w:val="2B6530D1"/>
    <w:rsid w:val="2B792012"/>
    <w:rsid w:val="2B7F31FF"/>
    <w:rsid w:val="2B925FDF"/>
    <w:rsid w:val="2B9970F1"/>
    <w:rsid w:val="2B9B3029"/>
    <w:rsid w:val="2BB65D1D"/>
    <w:rsid w:val="2BBA7BCA"/>
    <w:rsid w:val="2BC27506"/>
    <w:rsid w:val="2BDF6B05"/>
    <w:rsid w:val="2BE501C7"/>
    <w:rsid w:val="2BED2E55"/>
    <w:rsid w:val="2C0122C3"/>
    <w:rsid w:val="2C03186B"/>
    <w:rsid w:val="2C0F55F3"/>
    <w:rsid w:val="2C1738CF"/>
    <w:rsid w:val="2C18031A"/>
    <w:rsid w:val="2C1945D8"/>
    <w:rsid w:val="2C2217C9"/>
    <w:rsid w:val="2C24507B"/>
    <w:rsid w:val="2C2801FE"/>
    <w:rsid w:val="2C5353CC"/>
    <w:rsid w:val="2C614AA9"/>
    <w:rsid w:val="2C6169CC"/>
    <w:rsid w:val="2C665AE5"/>
    <w:rsid w:val="2C6714F0"/>
    <w:rsid w:val="2C6C7918"/>
    <w:rsid w:val="2C7502FD"/>
    <w:rsid w:val="2C777084"/>
    <w:rsid w:val="2C783906"/>
    <w:rsid w:val="2C7C1BFB"/>
    <w:rsid w:val="2C832E96"/>
    <w:rsid w:val="2C8E3E84"/>
    <w:rsid w:val="2C942C30"/>
    <w:rsid w:val="2C9D3A40"/>
    <w:rsid w:val="2C9F1142"/>
    <w:rsid w:val="2CA57E78"/>
    <w:rsid w:val="2CA8507A"/>
    <w:rsid w:val="2CA952D4"/>
    <w:rsid w:val="2CB4614D"/>
    <w:rsid w:val="2CB5787B"/>
    <w:rsid w:val="2CBF13A5"/>
    <w:rsid w:val="2CCA4381"/>
    <w:rsid w:val="2CD30F03"/>
    <w:rsid w:val="2CD719D9"/>
    <w:rsid w:val="2CD74B1F"/>
    <w:rsid w:val="2CDC70BE"/>
    <w:rsid w:val="2CE618B6"/>
    <w:rsid w:val="2CF009CE"/>
    <w:rsid w:val="2CF249BE"/>
    <w:rsid w:val="2CFC1554"/>
    <w:rsid w:val="2CFF3512"/>
    <w:rsid w:val="2D0B4074"/>
    <w:rsid w:val="2D0B7148"/>
    <w:rsid w:val="2D113E1B"/>
    <w:rsid w:val="2D17770B"/>
    <w:rsid w:val="2D1E469A"/>
    <w:rsid w:val="2D287789"/>
    <w:rsid w:val="2D354DCA"/>
    <w:rsid w:val="2D4360F1"/>
    <w:rsid w:val="2D4C4C78"/>
    <w:rsid w:val="2D5072B9"/>
    <w:rsid w:val="2D507BFC"/>
    <w:rsid w:val="2D595579"/>
    <w:rsid w:val="2D6E6943"/>
    <w:rsid w:val="2D7C22D8"/>
    <w:rsid w:val="2D7D1686"/>
    <w:rsid w:val="2D7E4AF7"/>
    <w:rsid w:val="2D8519AC"/>
    <w:rsid w:val="2D87777E"/>
    <w:rsid w:val="2D8A7365"/>
    <w:rsid w:val="2D8D3550"/>
    <w:rsid w:val="2D8E349F"/>
    <w:rsid w:val="2D9469E6"/>
    <w:rsid w:val="2D9D7A77"/>
    <w:rsid w:val="2D9F156C"/>
    <w:rsid w:val="2DAF78FF"/>
    <w:rsid w:val="2DB15B07"/>
    <w:rsid w:val="2DBF4E1C"/>
    <w:rsid w:val="2DBF701B"/>
    <w:rsid w:val="2DC10320"/>
    <w:rsid w:val="2DD072B5"/>
    <w:rsid w:val="2DD2603B"/>
    <w:rsid w:val="2DD93F77"/>
    <w:rsid w:val="2DDC2E60"/>
    <w:rsid w:val="2DDE7A41"/>
    <w:rsid w:val="2DE23D77"/>
    <w:rsid w:val="2DEF20F0"/>
    <w:rsid w:val="2DF422E9"/>
    <w:rsid w:val="2DF67EAC"/>
    <w:rsid w:val="2DF930A9"/>
    <w:rsid w:val="2E005886"/>
    <w:rsid w:val="2E00793A"/>
    <w:rsid w:val="2E035A56"/>
    <w:rsid w:val="2E041306"/>
    <w:rsid w:val="2E0745C9"/>
    <w:rsid w:val="2E106E4C"/>
    <w:rsid w:val="2E1F28B7"/>
    <w:rsid w:val="2E2A44CC"/>
    <w:rsid w:val="2E422716"/>
    <w:rsid w:val="2E4317F2"/>
    <w:rsid w:val="2E452AF7"/>
    <w:rsid w:val="2E4A3C4E"/>
    <w:rsid w:val="2E4C211D"/>
    <w:rsid w:val="2E4D7F49"/>
    <w:rsid w:val="2E4E05E7"/>
    <w:rsid w:val="2E4E1129"/>
    <w:rsid w:val="2E5B5EA2"/>
    <w:rsid w:val="2E6446EB"/>
    <w:rsid w:val="2E6E5EBA"/>
    <w:rsid w:val="2E7A5550"/>
    <w:rsid w:val="2E7F0E61"/>
    <w:rsid w:val="2E7F686F"/>
    <w:rsid w:val="2E814EDA"/>
    <w:rsid w:val="2E870765"/>
    <w:rsid w:val="2E8D0791"/>
    <w:rsid w:val="2E9A64A3"/>
    <w:rsid w:val="2E9B39A1"/>
    <w:rsid w:val="2E9F6735"/>
    <w:rsid w:val="2EA51AE7"/>
    <w:rsid w:val="2EB61B31"/>
    <w:rsid w:val="2EBC045D"/>
    <w:rsid w:val="2ED1015D"/>
    <w:rsid w:val="2EDE19F1"/>
    <w:rsid w:val="2EF12C10"/>
    <w:rsid w:val="2EF46E83"/>
    <w:rsid w:val="2EF57EDD"/>
    <w:rsid w:val="2F047EE8"/>
    <w:rsid w:val="2F085C75"/>
    <w:rsid w:val="2F0A5D38"/>
    <w:rsid w:val="2F0C5A7B"/>
    <w:rsid w:val="2F0E473E"/>
    <w:rsid w:val="2F0F21C0"/>
    <w:rsid w:val="2F116436"/>
    <w:rsid w:val="2F1A1856"/>
    <w:rsid w:val="2F1C0554"/>
    <w:rsid w:val="2F2451F0"/>
    <w:rsid w:val="2F2B12A9"/>
    <w:rsid w:val="2F3440DE"/>
    <w:rsid w:val="2F3A4309"/>
    <w:rsid w:val="2F3D528D"/>
    <w:rsid w:val="2F4D5528"/>
    <w:rsid w:val="2F626907"/>
    <w:rsid w:val="2F633507"/>
    <w:rsid w:val="2F673ED3"/>
    <w:rsid w:val="2F8D6982"/>
    <w:rsid w:val="2F956224"/>
    <w:rsid w:val="2F9601EC"/>
    <w:rsid w:val="2F970E99"/>
    <w:rsid w:val="2FA00F7A"/>
    <w:rsid w:val="2FA23A7C"/>
    <w:rsid w:val="2FA30525"/>
    <w:rsid w:val="2FA32B33"/>
    <w:rsid w:val="2FB449B9"/>
    <w:rsid w:val="2FC254E7"/>
    <w:rsid w:val="2FC73BC7"/>
    <w:rsid w:val="2FCC3878"/>
    <w:rsid w:val="2FD33F66"/>
    <w:rsid w:val="2FD408E0"/>
    <w:rsid w:val="2FD46948"/>
    <w:rsid w:val="2FDB4A4D"/>
    <w:rsid w:val="2FE311E4"/>
    <w:rsid w:val="2FF05140"/>
    <w:rsid w:val="2FF608DC"/>
    <w:rsid w:val="2FFA0EC4"/>
    <w:rsid w:val="2FFD3FAC"/>
    <w:rsid w:val="30032CF9"/>
    <w:rsid w:val="3004586C"/>
    <w:rsid w:val="30075FDB"/>
    <w:rsid w:val="30103067"/>
    <w:rsid w:val="301574EF"/>
    <w:rsid w:val="30160ACC"/>
    <w:rsid w:val="30203302"/>
    <w:rsid w:val="30232088"/>
    <w:rsid w:val="3045081F"/>
    <w:rsid w:val="305262F9"/>
    <w:rsid w:val="305A1538"/>
    <w:rsid w:val="305F666A"/>
    <w:rsid w:val="306825DD"/>
    <w:rsid w:val="306D3401"/>
    <w:rsid w:val="30762D20"/>
    <w:rsid w:val="30834BF9"/>
    <w:rsid w:val="308D5EB4"/>
    <w:rsid w:val="30944718"/>
    <w:rsid w:val="3094583F"/>
    <w:rsid w:val="30991CC7"/>
    <w:rsid w:val="30A75B25"/>
    <w:rsid w:val="30AE7865"/>
    <w:rsid w:val="30B95EAB"/>
    <w:rsid w:val="30BD0622"/>
    <w:rsid w:val="30C01078"/>
    <w:rsid w:val="30CF0FD9"/>
    <w:rsid w:val="30D23125"/>
    <w:rsid w:val="30E06F3B"/>
    <w:rsid w:val="30F34FAE"/>
    <w:rsid w:val="30FE2CF0"/>
    <w:rsid w:val="310160EC"/>
    <w:rsid w:val="31113F0F"/>
    <w:rsid w:val="312564F4"/>
    <w:rsid w:val="31325585"/>
    <w:rsid w:val="3133127A"/>
    <w:rsid w:val="31353CD7"/>
    <w:rsid w:val="313666CD"/>
    <w:rsid w:val="313E4128"/>
    <w:rsid w:val="313E620E"/>
    <w:rsid w:val="313E6CDE"/>
    <w:rsid w:val="31543819"/>
    <w:rsid w:val="315D0B0B"/>
    <w:rsid w:val="31603336"/>
    <w:rsid w:val="31727F68"/>
    <w:rsid w:val="317662E9"/>
    <w:rsid w:val="317B280F"/>
    <w:rsid w:val="318E38CE"/>
    <w:rsid w:val="31954796"/>
    <w:rsid w:val="31962DAE"/>
    <w:rsid w:val="31970AB8"/>
    <w:rsid w:val="319F0073"/>
    <w:rsid w:val="31A002FB"/>
    <w:rsid w:val="31A87E46"/>
    <w:rsid w:val="31A93189"/>
    <w:rsid w:val="31B56BB4"/>
    <w:rsid w:val="31B9498A"/>
    <w:rsid w:val="31CD6F8B"/>
    <w:rsid w:val="31D077C5"/>
    <w:rsid w:val="31D94C95"/>
    <w:rsid w:val="31E352CA"/>
    <w:rsid w:val="31E50329"/>
    <w:rsid w:val="31ED7FC2"/>
    <w:rsid w:val="32044DED"/>
    <w:rsid w:val="320C562E"/>
    <w:rsid w:val="32106030"/>
    <w:rsid w:val="32142838"/>
    <w:rsid w:val="3226789E"/>
    <w:rsid w:val="322E55E0"/>
    <w:rsid w:val="323A4C76"/>
    <w:rsid w:val="323E476F"/>
    <w:rsid w:val="32462A55"/>
    <w:rsid w:val="324B22D2"/>
    <w:rsid w:val="32575E9A"/>
    <w:rsid w:val="325C3AF5"/>
    <w:rsid w:val="326225B7"/>
    <w:rsid w:val="32634F46"/>
    <w:rsid w:val="32660FBD"/>
    <w:rsid w:val="32797FDE"/>
    <w:rsid w:val="327A0FE8"/>
    <w:rsid w:val="328911F2"/>
    <w:rsid w:val="329108DF"/>
    <w:rsid w:val="32931C47"/>
    <w:rsid w:val="329F684F"/>
    <w:rsid w:val="32A83910"/>
    <w:rsid w:val="32B26B6D"/>
    <w:rsid w:val="32BD1FFE"/>
    <w:rsid w:val="32C30926"/>
    <w:rsid w:val="32C92CF9"/>
    <w:rsid w:val="32CE05D8"/>
    <w:rsid w:val="32D16607"/>
    <w:rsid w:val="32D44E75"/>
    <w:rsid w:val="32F96ACA"/>
    <w:rsid w:val="330258B3"/>
    <w:rsid w:val="330428CD"/>
    <w:rsid w:val="33051DC0"/>
    <w:rsid w:val="33054642"/>
    <w:rsid w:val="33055644"/>
    <w:rsid w:val="33106E3B"/>
    <w:rsid w:val="33133414"/>
    <w:rsid w:val="332500F7"/>
    <w:rsid w:val="332B5883"/>
    <w:rsid w:val="332C2B52"/>
    <w:rsid w:val="333D647B"/>
    <w:rsid w:val="333E4968"/>
    <w:rsid w:val="33597207"/>
    <w:rsid w:val="337E28B4"/>
    <w:rsid w:val="338F27B5"/>
    <w:rsid w:val="33951969"/>
    <w:rsid w:val="339B5E01"/>
    <w:rsid w:val="33A02F90"/>
    <w:rsid w:val="33A31D7A"/>
    <w:rsid w:val="33AB1655"/>
    <w:rsid w:val="33B75467"/>
    <w:rsid w:val="33BD3297"/>
    <w:rsid w:val="33C42CBE"/>
    <w:rsid w:val="33C521FE"/>
    <w:rsid w:val="33CD1809"/>
    <w:rsid w:val="33D163EF"/>
    <w:rsid w:val="33D45DFD"/>
    <w:rsid w:val="33D52499"/>
    <w:rsid w:val="33D622B7"/>
    <w:rsid w:val="33DA6921"/>
    <w:rsid w:val="33DE5327"/>
    <w:rsid w:val="33E11727"/>
    <w:rsid w:val="33E605A3"/>
    <w:rsid w:val="33E706E6"/>
    <w:rsid w:val="33E846A6"/>
    <w:rsid w:val="33F14703"/>
    <w:rsid w:val="33F7797D"/>
    <w:rsid w:val="33FE4867"/>
    <w:rsid w:val="3406027F"/>
    <w:rsid w:val="3408616B"/>
    <w:rsid w:val="340C0F9D"/>
    <w:rsid w:val="3411487C"/>
    <w:rsid w:val="341C5F55"/>
    <w:rsid w:val="341E0B6A"/>
    <w:rsid w:val="34243449"/>
    <w:rsid w:val="342F05A9"/>
    <w:rsid w:val="34332832"/>
    <w:rsid w:val="343524B2"/>
    <w:rsid w:val="3442504B"/>
    <w:rsid w:val="34464ACC"/>
    <w:rsid w:val="344811B9"/>
    <w:rsid w:val="34497B40"/>
    <w:rsid w:val="344B4545"/>
    <w:rsid w:val="34504361"/>
    <w:rsid w:val="34543D83"/>
    <w:rsid w:val="345B2367"/>
    <w:rsid w:val="345B5F75"/>
    <w:rsid w:val="345C6505"/>
    <w:rsid w:val="346638E0"/>
    <w:rsid w:val="34812D29"/>
    <w:rsid w:val="348B5095"/>
    <w:rsid w:val="349C31F7"/>
    <w:rsid w:val="349D0BDD"/>
    <w:rsid w:val="349E1E18"/>
    <w:rsid w:val="34A54544"/>
    <w:rsid w:val="34A5796A"/>
    <w:rsid w:val="34AA6190"/>
    <w:rsid w:val="34AE0539"/>
    <w:rsid w:val="34B16BF3"/>
    <w:rsid w:val="34BD4F1E"/>
    <w:rsid w:val="34BF7E98"/>
    <w:rsid w:val="34C65624"/>
    <w:rsid w:val="34CD5068"/>
    <w:rsid w:val="34CE2B5B"/>
    <w:rsid w:val="34E711CA"/>
    <w:rsid w:val="34E944F6"/>
    <w:rsid w:val="34E94AA0"/>
    <w:rsid w:val="34ED017A"/>
    <w:rsid w:val="34F67643"/>
    <w:rsid w:val="34FF53FE"/>
    <w:rsid w:val="35072EAD"/>
    <w:rsid w:val="350960B1"/>
    <w:rsid w:val="350D7F97"/>
    <w:rsid w:val="35150114"/>
    <w:rsid w:val="351C27B0"/>
    <w:rsid w:val="351E7054"/>
    <w:rsid w:val="35217336"/>
    <w:rsid w:val="35290A77"/>
    <w:rsid w:val="352A0B4B"/>
    <w:rsid w:val="35325E66"/>
    <w:rsid w:val="35356F10"/>
    <w:rsid w:val="35371B3F"/>
    <w:rsid w:val="353C1008"/>
    <w:rsid w:val="354840CB"/>
    <w:rsid w:val="354E0C27"/>
    <w:rsid w:val="35520D37"/>
    <w:rsid w:val="35524018"/>
    <w:rsid w:val="35577112"/>
    <w:rsid w:val="35592615"/>
    <w:rsid w:val="355C013C"/>
    <w:rsid w:val="35611C20"/>
    <w:rsid w:val="3565420B"/>
    <w:rsid w:val="35673B29"/>
    <w:rsid w:val="356A601B"/>
    <w:rsid w:val="356F0F35"/>
    <w:rsid w:val="3570454A"/>
    <w:rsid w:val="3572634E"/>
    <w:rsid w:val="3583595D"/>
    <w:rsid w:val="35841013"/>
    <w:rsid w:val="358B79C9"/>
    <w:rsid w:val="358C5CCB"/>
    <w:rsid w:val="359A00B9"/>
    <w:rsid w:val="35A23D0E"/>
    <w:rsid w:val="35AE7B20"/>
    <w:rsid w:val="35C23876"/>
    <w:rsid w:val="35C73445"/>
    <w:rsid w:val="35D514D4"/>
    <w:rsid w:val="35DB18E9"/>
    <w:rsid w:val="35E01551"/>
    <w:rsid w:val="35EE2B08"/>
    <w:rsid w:val="35F853BB"/>
    <w:rsid w:val="35FB1676"/>
    <w:rsid w:val="36033620"/>
    <w:rsid w:val="36133D69"/>
    <w:rsid w:val="361526DE"/>
    <w:rsid w:val="36225127"/>
    <w:rsid w:val="36237E20"/>
    <w:rsid w:val="36286678"/>
    <w:rsid w:val="363803C7"/>
    <w:rsid w:val="363A3122"/>
    <w:rsid w:val="364542F2"/>
    <w:rsid w:val="3646059A"/>
    <w:rsid w:val="365607BB"/>
    <w:rsid w:val="367620D2"/>
    <w:rsid w:val="3689139F"/>
    <w:rsid w:val="369608CE"/>
    <w:rsid w:val="369B0A76"/>
    <w:rsid w:val="369B2954"/>
    <w:rsid w:val="36AD1AC9"/>
    <w:rsid w:val="36B260C9"/>
    <w:rsid w:val="36C02E61"/>
    <w:rsid w:val="36C1037B"/>
    <w:rsid w:val="36C82372"/>
    <w:rsid w:val="36D067A6"/>
    <w:rsid w:val="36D1561B"/>
    <w:rsid w:val="36DF16B9"/>
    <w:rsid w:val="36E24B9E"/>
    <w:rsid w:val="36ED1BD9"/>
    <w:rsid w:val="36EF0F55"/>
    <w:rsid w:val="36FA0A93"/>
    <w:rsid w:val="37070D11"/>
    <w:rsid w:val="370C03C2"/>
    <w:rsid w:val="37156C65"/>
    <w:rsid w:val="37201F64"/>
    <w:rsid w:val="3732571E"/>
    <w:rsid w:val="373F53DD"/>
    <w:rsid w:val="375223CF"/>
    <w:rsid w:val="375842D9"/>
    <w:rsid w:val="375948AC"/>
    <w:rsid w:val="375B6281"/>
    <w:rsid w:val="375D3A9B"/>
    <w:rsid w:val="376016E5"/>
    <w:rsid w:val="37684573"/>
    <w:rsid w:val="376B28D6"/>
    <w:rsid w:val="376C0D7B"/>
    <w:rsid w:val="376C5D00"/>
    <w:rsid w:val="376D09FB"/>
    <w:rsid w:val="376E1D00"/>
    <w:rsid w:val="376E276D"/>
    <w:rsid w:val="376F3EFE"/>
    <w:rsid w:val="3779277F"/>
    <w:rsid w:val="377E4518"/>
    <w:rsid w:val="37825E7B"/>
    <w:rsid w:val="378579E8"/>
    <w:rsid w:val="37872023"/>
    <w:rsid w:val="37911AD0"/>
    <w:rsid w:val="37926A3C"/>
    <w:rsid w:val="379D4DCD"/>
    <w:rsid w:val="37A04E93"/>
    <w:rsid w:val="37AA4F18"/>
    <w:rsid w:val="37B74D55"/>
    <w:rsid w:val="37C920C3"/>
    <w:rsid w:val="37CA21FC"/>
    <w:rsid w:val="37CA6221"/>
    <w:rsid w:val="37CE234B"/>
    <w:rsid w:val="37DF54A6"/>
    <w:rsid w:val="37E00D3A"/>
    <w:rsid w:val="37EA0A17"/>
    <w:rsid w:val="37F510CB"/>
    <w:rsid w:val="380A7603"/>
    <w:rsid w:val="380B0BB2"/>
    <w:rsid w:val="380D2B03"/>
    <w:rsid w:val="380D32F1"/>
    <w:rsid w:val="380D5D0D"/>
    <w:rsid w:val="380E4447"/>
    <w:rsid w:val="3825549B"/>
    <w:rsid w:val="382F2C1E"/>
    <w:rsid w:val="383B271A"/>
    <w:rsid w:val="38474241"/>
    <w:rsid w:val="384D78BB"/>
    <w:rsid w:val="385B37D6"/>
    <w:rsid w:val="38716CD9"/>
    <w:rsid w:val="387A56B5"/>
    <w:rsid w:val="38801C6C"/>
    <w:rsid w:val="388075BE"/>
    <w:rsid w:val="38851608"/>
    <w:rsid w:val="38932D9D"/>
    <w:rsid w:val="38A442FB"/>
    <w:rsid w:val="38A45712"/>
    <w:rsid w:val="38A47DD9"/>
    <w:rsid w:val="38A659F1"/>
    <w:rsid w:val="38A71165"/>
    <w:rsid w:val="38AB1AE5"/>
    <w:rsid w:val="38B04451"/>
    <w:rsid w:val="38BA2109"/>
    <w:rsid w:val="38C9778C"/>
    <w:rsid w:val="38CC35B4"/>
    <w:rsid w:val="38D10166"/>
    <w:rsid w:val="38FB278B"/>
    <w:rsid w:val="38FB5C8D"/>
    <w:rsid w:val="38FD240B"/>
    <w:rsid w:val="39005416"/>
    <w:rsid w:val="390D04A7"/>
    <w:rsid w:val="39115DDF"/>
    <w:rsid w:val="391D402E"/>
    <w:rsid w:val="39207FD2"/>
    <w:rsid w:val="39235FC1"/>
    <w:rsid w:val="392A38E3"/>
    <w:rsid w:val="3933207C"/>
    <w:rsid w:val="39395514"/>
    <w:rsid w:val="394B37F2"/>
    <w:rsid w:val="39532C2F"/>
    <w:rsid w:val="3978033E"/>
    <w:rsid w:val="39985F30"/>
    <w:rsid w:val="39997A3C"/>
    <w:rsid w:val="39A52F17"/>
    <w:rsid w:val="39B16A37"/>
    <w:rsid w:val="39B244B8"/>
    <w:rsid w:val="39D3500A"/>
    <w:rsid w:val="39D96419"/>
    <w:rsid w:val="39E55169"/>
    <w:rsid w:val="39E84553"/>
    <w:rsid w:val="39E861B5"/>
    <w:rsid w:val="39EA4612"/>
    <w:rsid w:val="39F17820"/>
    <w:rsid w:val="39F4018B"/>
    <w:rsid w:val="39F72E22"/>
    <w:rsid w:val="3A094E52"/>
    <w:rsid w:val="3A094EC7"/>
    <w:rsid w:val="3A174971"/>
    <w:rsid w:val="3A233308"/>
    <w:rsid w:val="3A273045"/>
    <w:rsid w:val="3A2A1737"/>
    <w:rsid w:val="3A3E4729"/>
    <w:rsid w:val="3A476F2A"/>
    <w:rsid w:val="3A4C0E33"/>
    <w:rsid w:val="3A4C35D0"/>
    <w:rsid w:val="3A654202"/>
    <w:rsid w:val="3A675D63"/>
    <w:rsid w:val="3A684EE0"/>
    <w:rsid w:val="3A6A03E3"/>
    <w:rsid w:val="3A6A6623"/>
    <w:rsid w:val="3A727012"/>
    <w:rsid w:val="3A96252C"/>
    <w:rsid w:val="3A987DF1"/>
    <w:rsid w:val="3A9F7948"/>
    <w:rsid w:val="3AA02CE4"/>
    <w:rsid w:val="3AA628ED"/>
    <w:rsid w:val="3AA90847"/>
    <w:rsid w:val="3AAC6356"/>
    <w:rsid w:val="3AB23C38"/>
    <w:rsid w:val="3ABA4B72"/>
    <w:rsid w:val="3AC708A8"/>
    <w:rsid w:val="3AC76FD5"/>
    <w:rsid w:val="3ACE1617"/>
    <w:rsid w:val="3AD31906"/>
    <w:rsid w:val="3AD76819"/>
    <w:rsid w:val="3AD969F8"/>
    <w:rsid w:val="3AE45251"/>
    <w:rsid w:val="3AE635B0"/>
    <w:rsid w:val="3AEF4E90"/>
    <w:rsid w:val="3AF40348"/>
    <w:rsid w:val="3AFD1BC4"/>
    <w:rsid w:val="3B09606F"/>
    <w:rsid w:val="3B0A24EB"/>
    <w:rsid w:val="3B0D47D3"/>
    <w:rsid w:val="3B1D10C6"/>
    <w:rsid w:val="3B3368FE"/>
    <w:rsid w:val="3B3B2CBA"/>
    <w:rsid w:val="3B4C622A"/>
    <w:rsid w:val="3B5E1F75"/>
    <w:rsid w:val="3B6161E6"/>
    <w:rsid w:val="3B617677"/>
    <w:rsid w:val="3B6A7A40"/>
    <w:rsid w:val="3B720C16"/>
    <w:rsid w:val="3B7F36AC"/>
    <w:rsid w:val="3B822235"/>
    <w:rsid w:val="3B830155"/>
    <w:rsid w:val="3B861D2E"/>
    <w:rsid w:val="3B8E0546"/>
    <w:rsid w:val="3BA77DEB"/>
    <w:rsid w:val="3BBA100A"/>
    <w:rsid w:val="3BC16EB8"/>
    <w:rsid w:val="3BC25680"/>
    <w:rsid w:val="3BCA54DA"/>
    <w:rsid w:val="3BD34132"/>
    <w:rsid w:val="3BD653F5"/>
    <w:rsid w:val="3BD77A63"/>
    <w:rsid w:val="3BDB3703"/>
    <w:rsid w:val="3BE16ECF"/>
    <w:rsid w:val="3BE4213F"/>
    <w:rsid w:val="3BFF6F27"/>
    <w:rsid w:val="3C095928"/>
    <w:rsid w:val="3C211965"/>
    <w:rsid w:val="3C286614"/>
    <w:rsid w:val="3C3209A4"/>
    <w:rsid w:val="3C321F4D"/>
    <w:rsid w:val="3C365282"/>
    <w:rsid w:val="3C402634"/>
    <w:rsid w:val="3C493B58"/>
    <w:rsid w:val="3C4B0ED5"/>
    <w:rsid w:val="3C551FF9"/>
    <w:rsid w:val="3C5637BE"/>
    <w:rsid w:val="3C5F1DD5"/>
    <w:rsid w:val="3C716882"/>
    <w:rsid w:val="3C88295C"/>
    <w:rsid w:val="3C8A3C61"/>
    <w:rsid w:val="3C8F5B6A"/>
    <w:rsid w:val="3CA91418"/>
    <w:rsid w:val="3CAA3645"/>
    <w:rsid w:val="3CB064E9"/>
    <w:rsid w:val="3CB37024"/>
    <w:rsid w:val="3CBC1B56"/>
    <w:rsid w:val="3CBD75BF"/>
    <w:rsid w:val="3CC33BCC"/>
    <w:rsid w:val="3CCD3451"/>
    <w:rsid w:val="3CD15DA5"/>
    <w:rsid w:val="3CD641A1"/>
    <w:rsid w:val="3CD71CB8"/>
    <w:rsid w:val="3CD97DC0"/>
    <w:rsid w:val="3CE112D9"/>
    <w:rsid w:val="3CE2490A"/>
    <w:rsid w:val="3CE43661"/>
    <w:rsid w:val="3CEA648A"/>
    <w:rsid w:val="3CEB530C"/>
    <w:rsid w:val="3CF03605"/>
    <w:rsid w:val="3CF036C8"/>
    <w:rsid w:val="3CFB2C9B"/>
    <w:rsid w:val="3CFB7418"/>
    <w:rsid w:val="3D0772FE"/>
    <w:rsid w:val="3D0808A8"/>
    <w:rsid w:val="3D0E3159"/>
    <w:rsid w:val="3D146985"/>
    <w:rsid w:val="3D1502D9"/>
    <w:rsid w:val="3D353912"/>
    <w:rsid w:val="3D46422A"/>
    <w:rsid w:val="3D555673"/>
    <w:rsid w:val="3D5657CC"/>
    <w:rsid w:val="3D5D2E26"/>
    <w:rsid w:val="3D5E6D3C"/>
    <w:rsid w:val="3D6200C1"/>
    <w:rsid w:val="3D666AC7"/>
    <w:rsid w:val="3D695D53"/>
    <w:rsid w:val="3D6C09D0"/>
    <w:rsid w:val="3D71233A"/>
    <w:rsid w:val="3D795AE8"/>
    <w:rsid w:val="3D856675"/>
    <w:rsid w:val="3D876DDA"/>
    <w:rsid w:val="3D895D82"/>
    <w:rsid w:val="3D8A08BF"/>
    <w:rsid w:val="3D8E5ECA"/>
    <w:rsid w:val="3D8F3247"/>
    <w:rsid w:val="3D902DB0"/>
    <w:rsid w:val="3D9C2824"/>
    <w:rsid w:val="3DA24B18"/>
    <w:rsid w:val="3DA43C69"/>
    <w:rsid w:val="3DA93D8D"/>
    <w:rsid w:val="3DAA3D38"/>
    <w:rsid w:val="3DAE0540"/>
    <w:rsid w:val="3DAE642A"/>
    <w:rsid w:val="3DB21166"/>
    <w:rsid w:val="3DB52FFB"/>
    <w:rsid w:val="3DB932B8"/>
    <w:rsid w:val="3DBA2148"/>
    <w:rsid w:val="3DBA37DD"/>
    <w:rsid w:val="3DCD6A49"/>
    <w:rsid w:val="3DDF3C84"/>
    <w:rsid w:val="3DE1484B"/>
    <w:rsid w:val="3DF204F5"/>
    <w:rsid w:val="3DF55B8D"/>
    <w:rsid w:val="3DF740D2"/>
    <w:rsid w:val="3DFB283E"/>
    <w:rsid w:val="3DFC1B15"/>
    <w:rsid w:val="3E091B54"/>
    <w:rsid w:val="3E117FD9"/>
    <w:rsid w:val="3E1B0B74"/>
    <w:rsid w:val="3E203026"/>
    <w:rsid w:val="3E2942BE"/>
    <w:rsid w:val="3E29452D"/>
    <w:rsid w:val="3E2C300D"/>
    <w:rsid w:val="3E2E356B"/>
    <w:rsid w:val="3E300439"/>
    <w:rsid w:val="3E300685"/>
    <w:rsid w:val="3E320B89"/>
    <w:rsid w:val="3E3906BC"/>
    <w:rsid w:val="3E4B38C2"/>
    <w:rsid w:val="3E5111EB"/>
    <w:rsid w:val="3E5648B2"/>
    <w:rsid w:val="3E593782"/>
    <w:rsid w:val="3E684241"/>
    <w:rsid w:val="3E75521D"/>
    <w:rsid w:val="3E7B7B93"/>
    <w:rsid w:val="3E7F5015"/>
    <w:rsid w:val="3E7F7BA2"/>
    <w:rsid w:val="3E814901"/>
    <w:rsid w:val="3E83245B"/>
    <w:rsid w:val="3E8412E9"/>
    <w:rsid w:val="3E8F10CC"/>
    <w:rsid w:val="3E9328AF"/>
    <w:rsid w:val="3E9571B9"/>
    <w:rsid w:val="3E964C3B"/>
    <w:rsid w:val="3E9D7E49"/>
    <w:rsid w:val="3E9F1CBA"/>
    <w:rsid w:val="3EAB715E"/>
    <w:rsid w:val="3EB1094A"/>
    <w:rsid w:val="3EB6490C"/>
    <w:rsid w:val="3EBC27E6"/>
    <w:rsid w:val="3EC57D08"/>
    <w:rsid w:val="3EDA559F"/>
    <w:rsid w:val="3EDC10D0"/>
    <w:rsid w:val="3EE10368"/>
    <w:rsid w:val="3EE62176"/>
    <w:rsid w:val="3EE760FD"/>
    <w:rsid w:val="3EEB5E34"/>
    <w:rsid w:val="3EF13BC7"/>
    <w:rsid w:val="3EF53D00"/>
    <w:rsid w:val="3EFD36E5"/>
    <w:rsid w:val="3EFE4E31"/>
    <w:rsid w:val="3F066B6D"/>
    <w:rsid w:val="3F082698"/>
    <w:rsid w:val="3F0B047D"/>
    <w:rsid w:val="3F0C4369"/>
    <w:rsid w:val="3F204B9F"/>
    <w:rsid w:val="3F226537"/>
    <w:rsid w:val="3F235B23"/>
    <w:rsid w:val="3F2F53AA"/>
    <w:rsid w:val="3F3412DE"/>
    <w:rsid w:val="3F382246"/>
    <w:rsid w:val="3F5A3A7F"/>
    <w:rsid w:val="3F5D2E4D"/>
    <w:rsid w:val="3F5E7CFF"/>
    <w:rsid w:val="3F5F1F5C"/>
    <w:rsid w:val="3F621396"/>
    <w:rsid w:val="3F661A90"/>
    <w:rsid w:val="3F6A5EE0"/>
    <w:rsid w:val="3F6A6298"/>
    <w:rsid w:val="3F8A14CB"/>
    <w:rsid w:val="3F9776C7"/>
    <w:rsid w:val="3F981365"/>
    <w:rsid w:val="3F9A65F0"/>
    <w:rsid w:val="3F9C6800"/>
    <w:rsid w:val="3F9E0865"/>
    <w:rsid w:val="3FA5009E"/>
    <w:rsid w:val="3FA57F1F"/>
    <w:rsid w:val="3FA770C3"/>
    <w:rsid w:val="3FA91ABC"/>
    <w:rsid w:val="3FB86017"/>
    <w:rsid w:val="3FBD02A0"/>
    <w:rsid w:val="3FBF796B"/>
    <w:rsid w:val="3FCC2AB9"/>
    <w:rsid w:val="3FD50D82"/>
    <w:rsid w:val="3FDB1475"/>
    <w:rsid w:val="3FDE5AD9"/>
    <w:rsid w:val="3FE56AF2"/>
    <w:rsid w:val="3FE710E5"/>
    <w:rsid w:val="3FF15942"/>
    <w:rsid w:val="3FFD0B4F"/>
    <w:rsid w:val="400739DE"/>
    <w:rsid w:val="400C5AA1"/>
    <w:rsid w:val="401818B4"/>
    <w:rsid w:val="401C7BD5"/>
    <w:rsid w:val="402417C8"/>
    <w:rsid w:val="40372073"/>
    <w:rsid w:val="403E6346"/>
    <w:rsid w:val="4044560B"/>
    <w:rsid w:val="40475A52"/>
    <w:rsid w:val="404F52A8"/>
    <w:rsid w:val="405A3622"/>
    <w:rsid w:val="407612BC"/>
    <w:rsid w:val="408753EB"/>
    <w:rsid w:val="40B019A5"/>
    <w:rsid w:val="40B6211F"/>
    <w:rsid w:val="40BE58C5"/>
    <w:rsid w:val="40BE7685"/>
    <w:rsid w:val="40C2573C"/>
    <w:rsid w:val="40CA7DEF"/>
    <w:rsid w:val="40D34024"/>
    <w:rsid w:val="40D43BA0"/>
    <w:rsid w:val="40DC106D"/>
    <w:rsid w:val="40E11862"/>
    <w:rsid w:val="40E241CE"/>
    <w:rsid w:val="40EA78D7"/>
    <w:rsid w:val="40F24054"/>
    <w:rsid w:val="40F90C23"/>
    <w:rsid w:val="411E3A73"/>
    <w:rsid w:val="412912D7"/>
    <w:rsid w:val="413262C6"/>
    <w:rsid w:val="41366B89"/>
    <w:rsid w:val="41424C8E"/>
    <w:rsid w:val="415A3828"/>
    <w:rsid w:val="41643D6B"/>
    <w:rsid w:val="416579E9"/>
    <w:rsid w:val="41771599"/>
    <w:rsid w:val="41973029"/>
    <w:rsid w:val="41A04E11"/>
    <w:rsid w:val="41B119D5"/>
    <w:rsid w:val="41B85F14"/>
    <w:rsid w:val="41BF7182"/>
    <w:rsid w:val="41C250B1"/>
    <w:rsid w:val="41C44DF2"/>
    <w:rsid w:val="41CC3DB5"/>
    <w:rsid w:val="41D33655"/>
    <w:rsid w:val="41D70F57"/>
    <w:rsid w:val="41DB0F0D"/>
    <w:rsid w:val="41F01FFD"/>
    <w:rsid w:val="41FF7556"/>
    <w:rsid w:val="420558C2"/>
    <w:rsid w:val="42057B28"/>
    <w:rsid w:val="421052B2"/>
    <w:rsid w:val="421538F8"/>
    <w:rsid w:val="42190CC2"/>
    <w:rsid w:val="421E02C7"/>
    <w:rsid w:val="42256110"/>
    <w:rsid w:val="422C131F"/>
    <w:rsid w:val="422D344D"/>
    <w:rsid w:val="422F36E3"/>
    <w:rsid w:val="42382BB3"/>
    <w:rsid w:val="42391B89"/>
    <w:rsid w:val="42407C97"/>
    <w:rsid w:val="42433C14"/>
    <w:rsid w:val="42491125"/>
    <w:rsid w:val="425F740A"/>
    <w:rsid w:val="426E0618"/>
    <w:rsid w:val="427A44C2"/>
    <w:rsid w:val="427B109E"/>
    <w:rsid w:val="428377AF"/>
    <w:rsid w:val="42880654"/>
    <w:rsid w:val="428D14EF"/>
    <w:rsid w:val="428D483B"/>
    <w:rsid w:val="428F724E"/>
    <w:rsid w:val="4296187E"/>
    <w:rsid w:val="429B217F"/>
    <w:rsid w:val="429E0EC5"/>
    <w:rsid w:val="42A16D5F"/>
    <w:rsid w:val="42A65AF0"/>
    <w:rsid w:val="42AD56C6"/>
    <w:rsid w:val="42B14A56"/>
    <w:rsid w:val="42C22B17"/>
    <w:rsid w:val="42DF5839"/>
    <w:rsid w:val="42E874D3"/>
    <w:rsid w:val="42F300EE"/>
    <w:rsid w:val="42FA181F"/>
    <w:rsid w:val="42FF71DC"/>
    <w:rsid w:val="42FF7548"/>
    <w:rsid w:val="431B0637"/>
    <w:rsid w:val="431B5892"/>
    <w:rsid w:val="431D225F"/>
    <w:rsid w:val="431F0701"/>
    <w:rsid w:val="43220206"/>
    <w:rsid w:val="432B1FC3"/>
    <w:rsid w:val="432D2E94"/>
    <w:rsid w:val="43367252"/>
    <w:rsid w:val="4339625B"/>
    <w:rsid w:val="433B14DC"/>
    <w:rsid w:val="43423544"/>
    <w:rsid w:val="43453FEA"/>
    <w:rsid w:val="434D155D"/>
    <w:rsid w:val="43553B58"/>
    <w:rsid w:val="43561D06"/>
    <w:rsid w:val="435E53D9"/>
    <w:rsid w:val="436454E1"/>
    <w:rsid w:val="43707CF2"/>
    <w:rsid w:val="437A0D2C"/>
    <w:rsid w:val="437D52A7"/>
    <w:rsid w:val="438607EE"/>
    <w:rsid w:val="438815DB"/>
    <w:rsid w:val="43911F91"/>
    <w:rsid w:val="4394491A"/>
    <w:rsid w:val="43984FD6"/>
    <w:rsid w:val="43997A97"/>
    <w:rsid w:val="439C4B3A"/>
    <w:rsid w:val="43A2197F"/>
    <w:rsid w:val="43A60B8B"/>
    <w:rsid w:val="43AE0196"/>
    <w:rsid w:val="43B20F35"/>
    <w:rsid w:val="43BA39F7"/>
    <w:rsid w:val="43BD5DE5"/>
    <w:rsid w:val="43C0796C"/>
    <w:rsid w:val="43C42299"/>
    <w:rsid w:val="43CF3F4E"/>
    <w:rsid w:val="43D65E39"/>
    <w:rsid w:val="43D6606E"/>
    <w:rsid w:val="43D705EA"/>
    <w:rsid w:val="43E176EB"/>
    <w:rsid w:val="43E715F4"/>
    <w:rsid w:val="43FE3B45"/>
    <w:rsid w:val="440740A8"/>
    <w:rsid w:val="440E72B6"/>
    <w:rsid w:val="441111D7"/>
    <w:rsid w:val="441255BD"/>
    <w:rsid w:val="441303B5"/>
    <w:rsid w:val="44185647"/>
    <w:rsid w:val="441B2D48"/>
    <w:rsid w:val="441B7C86"/>
    <w:rsid w:val="441D0D39"/>
    <w:rsid w:val="4426495C"/>
    <w:rsid w:val="4449473C"/>
    <w:rsid w:val="444C64B0"/>
    <w:rsid w:val="444D54BA"/>
    <w:rsid w:val="445D3406"/>
    <w:rsid w:val="445E0FDC"/>
    <w:rsid w:val="44705CD5"/>
    <w:rsid w:val="44742FDB"/>
    <w:rsid w:val="44775660"/>
    <w:rsid w:val="447C0BC0"/>
    <w:rsid w:val="44861641"/>
    <w:rsid w:val="4496054C"/>
    <w:rsid w:val="449D218D"/>
    <w:rsid w:val="449D508C"/>
    <w:rsid w:val="44A240DC"/>
    <w:rsid w:val="44AC00B9"/>
    <w:rsid w:val="44B15AF7"/>
    <w:rsid w:val="44B36E39"/>
    <w:rsid w:val="44BF70D9"/>
    <w:rsid w:val="44DF3D8B"/>
    <w:rsid w:val="44E0180C"/>
    <w:rsid w:val="44EA5165"/>
    <w:rsid w:val="44EB088C"/>
    <w:rsid w:val="44EC7013"/>
    <w:rsid w:val="44F02519"/>
    <w:rsid w:val="44F85B4A"/>
    <w:rsid w:val="44FB3AE3"/>
    <w:rsid w:val="44FF3C64"/>
    <w:rsid w:val="45037B20"/>
    <w:rsid w:val="45061393"/>
    <w:rsid w:val="450A44F7"/>
    <w:rsid w:val="45167B36"/>
    <w:rsid w:val="45351D88"/>
    <w:rsid w:val="45353B4F"/>
    <w:rsid w:val="453B7947"/>
    <w:rsid w:val="453C63BD"/>
    <w:rsid w:val="45427AA4"/>
    <w:rsid w:val="45515DC5"/>
    <w:rsid w:val="455454A2"/>
    <w:rsid w:val="45564CA5"/>
    <w:rsid w:val="455B6233"/>
    <w:rsid w:val="456A6A48"/>
    <w:rsid w:val="456C211B"/>
    <w:rsid w:val="45751837"/>
    <w:rsid w:val="45780A86"/>
    <w:rsid w:val="457C3D14"/>
    <w:rsid w:val="45865E2C"/>
    <w:rsid w:val="45911A43"/>
    <w:rsid w:val="45A16423"/>
    <w:rsid w:val="45A24E61"/>
    <w:rsid w:val="45A2580C"/>
    <w:rsid w:val="45AD2F61"/>
    <w:rsid w:val="45AE0358"/>
    <w:rsid w:val="45B457B5"/>
    <w:rsid w:val="45B70D57"/>
    <w:rsid w:val="45BD36E4"/>
    <w:rsid w:val="45C717E3"/>
    <w:rsid w:val="45DE2657"/>
    <w:rsid w:val="45EB2FC3"/>
    <w:rsid w:val="45F10EC5"/>
    <w:rsid w:val="45F16E50"/>
    <w:rsid w:val="460F4303"/>
    <w:rsid w:val="461B7E6D"/>
    <w:rsid w:val="462D20CB"/>
    <w:rsid w:val="462E7E70"/>
    <w:rsid w:val="463144E8"/>
    <w:rsid w:val="46375641"/>
    <w:rsid w:val="464442C4"/>
    <w:rsid w:val="464B6860"/>
    <w:rsid w:val="464D55E6"/>
    <w:rsid w:val="464E687C"/>
    <w:rsid w:val="46564D57"/>
    <w:rsid w:val="465950E5"/>
    <w:rsid w:val="465E7A7F"/>
    <w:rsid w:val="46621D09"/>
    <w:rsid w:val="466317E7"/>
    <w:rsid w:val="46633F07"/>
    <w:rsid w:val="4663778A"/>
    <w:rsid w:val="466E3CCD"/>
    <w:rsid w:val="4676381B"/>
    <w:rsid w:val="467744FD"/>
    <w:rsid w:val="468422FB"/>
    <w:rsid w:val="469F5468"/>
    <w:rsid w:val="46A61C18"/>
    <w:rsid w:val="46A746F1"/>
    <w:rsid w:val="46A9603F"/>
    <w:rsid w:val="46AB2D98"/>
    <w:rsid w:val="46AF30F0"/>
    <w:rsid w:val="46B63991"/>
    <w:rsid w:val="46C661AA"/>
    <w:rsid w:val="46D046FE"/>
    <w:rsid w:val="46D503F7"/>
    <w:rsid w:val="46E12276"/>
    <w:rsid w:val="46F03580"/>
    <w:rsid w:val="46F337F6"/>
    <w:rsid w:val="46F51A7F"/>
    <w:rsid w:val="47030510"/>
    <w:rsid w:val="4706377B"/>
    <w:rsid w:val="47140188"/>
    <w:rsid w:val="47143D2B"/>
    <w:rsid w:val="4714637D"/>
    <w:rsid w:val="471A2100"/>
    <w:rsid w:val="471A25BE"/>
    <w:rsid w:val="471F3AAF"/>
    <w:rsid w:val="471F4E9D"/>
    <w:rsid w:val="472055BF"/>
    <w:rsid w:val="47280D0D"/>
    <w:rsid w:val="4745087C"/>
    <w:rsid w:val="47456240"/>
    <w:rsid w:val="47541F31"/>
    <w:rsid w:val="47546D12"/>
    <w:rsid w:val="475F0C6A"/>
    <w:rsid w:val="476B7898"/>
    <w:rsid w:val="47700B34"/>
    <w:rsid w:val="47736CA5"/>
    <w:rsid w:val="477A6B40"/>
    <w:rsid w:val="47862D65"/>
    <w:rsid w:val="47A07192"/>
    <w:rsid w:val="47B32E9C"/>
    <w:rsid w:val="47CA145E"/>
    <w:rsid w:val="47D408E5"/>
    <w:rsid w:val="47E2384A"/>
    <w:rsid w:val="47E32FBE"/>
    <w:rsid w:val="47F230D2"/>
    <w:rsid w:val="47FE72F3"/>
    <w:rsid w:val="48020130"/>
    <w:rsid w:val="48071839"/>
    <w:rsid w:val="480B19F6"/>
    <w:rsid w:val="481B604A"/>
    <w:rsid w:val="48212AE9"/>
    <w:rsid w:val="482728EE"/>
    <w:rsid w:val="484D3110"/>
    <w:rsid w:val="485C2B97"/>
    <w:rsid w:val="486C4CE7"/>
    <w:rsid w:val="48782345"/>
    <w:rsid w:val="488E5795"/>
    <w:rsid w:val="489713C3"/>
    <w:rsid w:val="48A06010"/>
    <w:rsid w:val="48A262B1"/>
    <w:rsid w:val="48A61EC2"/>
    <w:rsid w:val="48BA3284"/>
    <w:rsid w:val="48C76BF4"/>
    <w:rsid w:val="48CB1CC0"/>
    <w:rsid w:val="48CE1945"/>
    <w:rsid w:val="48E155A0"/>
    <w:rsid w:val="48F07DB8"/>
    <w:rsid w:val="48FD3D61"/>
    <w:rsid w:val="48FF7F12"/>
    <w:rsid w:val="4901192F"/>
    <w:rsid w:val="49013C23"/>
    <w:rsid w:val="490A52ED"/>
    <w:rsid w:val="49163580"/>
    <w:rsid w:val="49163EF7"/>
    <w:rsid w:val="491E6E1E"/>
    <w:rsid w:val="491F7F64"/>
    <w:rsid w:val="49256F8E"/>
    <w:rsid w:val="492A1BD4"/>
    <w:rsid w:val="492B6918"/>
    <w:rsid w:val="494552C4"/>
    <w:rsid w:val="494A2558"/>
    <w:rsid w:val="49582843"/>
    <w:rsid w:val="496C5184"/>
    <w:rsid w:val="49733467"/>
    <w:rsid w:val="497A1F1B"/>
    <w:rsid w:val="499340F1"/>
    <w:rsid w:val="499872CD"/>
    <w:rsid w:val="49997039"/>
    <w:rsid w:val="49A418F2"/>
    <w:rsid w:val="49A5443C"/>
    <w:rsid w:val="49B73A15"/>
    <w:rsid w:val="49B947C8"/>
    <w:rsid w:val="49C8100A"/>
    <w:rsid w:val="49DF1C3F"/>
    <w:rsid w:val="49E70C5B"/>
    <w:rsid w:val="49EC0159"/>
    <w:rsid w:val="49F81C14"/>
    <w:rsid w:val="49FF2037"/>
    <w:rsid w:val="4A041E7F"/>
    <w:rsid w:val="4A0A7F62"/>
    <w:rsid w:val="4A143C42"/>
    <w:rsid w:val="4A1D00AC"/>
    <w:rsid w:val="4A270A04"/>
    <w:rsid w:val="4A3E54DC"/>
    <w:rsid w:val="4A414188"/>
    <w:rsid w:val="4A431D85"/>
    <w:rsid w:val="4A47591B"/>
    <w:rsid w:val="4A4C4C82"/>
    <w:rsid w:val="4A6F608D"/>
    <w:rsid w:val="4A712069"/>
    <w:rsid w:val="4A727A89"/>
    <w:rsid w:val="4A7346BA"/>
    <w:rsid w:val="4A8232F8"/>
    <w:rsid w:val="4A885CE1"/>
    <w:rsid w:val="4A8D6109"/>
    <w:rsid w:val="4A921070"/>
    <w:rsid w:val="4A9452E5"/>
    <w:rsid w:val="4A9563B7"/>
    <w:rsid w:val="4A9F2D3A"/>
    <w:rsid w:val="4A9F49CA"/>
    <w:rsid w:val="4AA8466E"/>
    <w:rsid w:val="4ABA22E0"/>
    <w:rsid w:val="4ABE4F66"/>
    <w:rsid w:val="4ABF0894"/>
    <w:rsid w:val="4ACB6941"/>
    <w:rsid w:val="4ACE11C7"/>
    <w:rsid w:val="4ADB4E28"/>
    <w:rsid w:val="4AE922E8"/>
    <w:rsid w:val="4AF16114"/>
    <w:rsid w:val="4AF26882"/>
    <w:rsid w:val="4AF51588"/>
    <w:rsid w:val="4AF75899"/>
    <w:rsid w:val="4AFA71F1"/>
    <w:rsid w:val="4B170E1E"/>
    <w:rsid w:val="4B1A46C6"/>
    <w:rsid w:val="4B1F1A9E"/>
    <w:rsid w:val="4B2517BD"/>
    <w:rsid w:val="4B2C35A3"/>
    <w:rsid w:val="4B333D7A"/>
    <w:rsid w:val="4B3422A0"/>
    <w:rsid w:val="4B380A88"/>
    <w:rsid w:val="4B3D3D17"/>
    <w:rsid w:val="4B4D3A8C"/>
    <w:rsid w:val="4B5523AC"/>
    <w:rsid w:val="4B745559"/>
    <w:rsid w:val="4B835B73"/>
    <w:rsid w:val="4B847D71"/>
    <w:rsid w:val="4B891C7B"/>
    <w:rsid w:val="4B8A76FC"/>
    <w:rsid w:val="4B946474"/>
    <w:rsid w:val="4BAD664B"/>
    <w:rsid w:val="4BAF3A38"/>
    <w:rsid w:val="4BB00A6D"/>
    <w:rsid w:val="4BB22029"/>
    <w:rsid w:val="4BB31E0A"/>
    <w:rsid w:val="4BB3503D"/>
    <w:rsid w:val="4BB8525F"/>
    <w:rsid w:val="4BC4137A"/>
    <w:rsid w:val="4BC74E08"/>
    <w:rsid w:val="4BCA04E6"/>
    <w:rsid w:val="4BD07997"/>
    <w:rsid w:val="4BD340CB"/>
    <w:rsid w:val="4BD86F5D"/>
    <w:rsid w:val="4BD92CFF"/>
    <w:rsid w:val="4BDF3E16"/>
    <w:rsid w:val="4BE6762A"/>
    <w:rsid w:val="4BF37DB0"/>
    <w:rsid w:val="4BF67B62"/>
    <w:rsid w:val="4BFC6546"/>
    <w:rsid w:val="4C0F6414"/>
    <w:rsid w:val="4C1003D8"/>
    <w:rsid w:val="4C1E5E77"/>
    <w:rsid w:val="4C2C57BF"/>
    <w:rsid w:val="4C352DA8"/>
    <w:rsid w:val="4C366477"/>
    <w:rsid w:val="4C38466F"/>
    <w:rsid w:val="4C3E433E"/>
    <w:rsid w:val="4C3F26D9"/>
    <w:rsid w:val="4C5237AB"/>
    <w:rsid w:val="4C6F66E5"/>
    <w:rsid w:val="4C786851"/>
    <w:rsid w:val="4C804791"/>
    <w:rsid w:val="4C8D6069"/>
    <w:rsid w:val="4C942881"/>
    <w:rsid w:val="4CA24C4C"/>
    <w:rsid w:val="4CA45C4B"/>
    <w:rsid w:val="4CAF0F2A"/>
    <w:rsid w:val="4CAF266F"/>
    <w:rsid w:val="4CB34C20"/>
    <w:rsid w:val="4CB9155D"/>
    <w:rsid w:val="4CC13ECD"/>
    <w:rsid w:val="4CD020F9"/>
    <w:rsid w:val="4CD53C2C"/>
    <w:rsid w:val="4CD82C22"/>
    <w:rsid w:val="4CF643D0"/>
    <w:rsid w:val="4CF81387"/>
    <w:rsid w:val="4CF918A7"/>
    <w:rsid w:val="4CFD75DE"/>
    <w:rsid w:val="4CFE5060"/>
    <w:rsid w:val="4D016E80"/>
    <w:rsid w:val="4D0B17EF"/>
    <w:rsid w:val="4D0D1DF7"/>
    <w:rsid w:val="4D0E4802"/>
    <w:rsid w:val="4D1A110D"/>
    <w:rsid w:val="4D1A6F0E"/>
    <w:rsid w:val="4D2F7723"/>
    <w:rsid w:val="4D337AB8"/>
    <w:rsid w:val="4D352FBB"/>
    <w:rsid w:val="4D3C40FD"/>
    <w:rsid w:val="4D406BD1"/>
    <w:rsid w:val="4D4E5E6E"/>
    <w:rsid w:val="4D5047B5"/>
    <w:rsid w:val="4D605A45"/>
    <w:rsid w:val="4D76573F"/>
    <w:rsid w:val="4D786A89"/>
    <w:rsid w:val="4D7C07CD"/>
    <w:rsid w:val="4D831E51"/>
    <w:rsid w:val="4D8465BE"/>
    <w:rsid w:val="4D922813"/>
    <w:rsid w:val="4DA02384"/>
    <w:rsid w:val="4DA44E4F"/>
    <w:rsid w:val="4DA94850"/>
    <w:rsid w:val="4DAB2BFA"/>
    <w:rsid w:val="4DAF7402"/>
    <w:rsid w:val="4DAF7454"/>
    <w:rsid w:val="4DB33889"/>
    <w:rsid w:val="4DBB5413"/>
    <w:rsid w:val="4DC04F72"/>
    <w:rsid w:val="4DCE74AD"/>
    <w:rsid w:val="4DE44BB5"/>
    <w:rsid w:val="4DE52C3E"/>
    <w:rsid w:val="4DE962E2"/>
    <w:rsid w:val="4DF31EEA"/>
    <w:rsid w:val="4DF521AC"/>
    <w:rsid w:val="4DFD4F82"/>
    <w:rsid w:val="4DFF2684"/>
    <w:rsid w:val="4DFF7568"/>
    <w:rsid w:val="4E0A2800"/>
    <w:rsid w:val="4E0D58C8"/>
    <w:rsid w:val="4E3573CC"/>
    <w:rsid w:val="4E3D6F61"/>
    <w:rsid w:val="4E5079C5"/>
    <w:rsid w:val="4E623BD3"/>
    <w:rsid w:val="4E63198C"/>
    <w:rsid w:val="4E6B77B5"/>
    <w:rsid w:val="4E7906E7"/>
    <w:rsid w:val="4E837C45"/>
    <w:rsid w:val="4E8F0C6E"/>
    <w:rsid w:val="4E901205"/>
    <w:rsid w:val="4E993495"/>
    <w:rsid w:val="4EA30D9D"/>
    <w:rsid w:val="4EA31AE4"/>
    <w:rsid w:val="4EB2058C"/>
    <w:rsid w:val="4EB5692F"/>
    <w:rsid w:val="4EB60C48"/>
    <w:rsid w:val="4EB77C34"/>
    <w:rsid w:val="4ED513E2"/>
    <w:rsid w:val="4EDE147E"/>
    <w:rsid w:val="4EEA3967"/>
    <w:rsid w:val="4EEE2FCC"/>
    <w:rsid w:val="4EEF1B44"/>
    <w:rsid w:val="4EFC389E"/>
    <w:rsid w:val="4F065435"/>
    <w:rsid w:val="4F0A27C3"/>
    <w:rsid w:val="4F0F005F"/>
    <w:rsid w:val="4F165D52"/>
    <w:rsid w:val="4F170F52"/>
    <w:rsid w:val="4F1B36C1"/>
    <w:rsid w:val="4F1B7277"/>
    <w:rsid w:val="4F1D369F"/>
    <w:rsid w:val="4F213A90"/>
    <w:rsid w:val="4F290247"/>
    <w:rsid w:val="4F2A1BE1"/>
    <w:rsid w:val="4F323CD2"/>
    <w:rsid w:val="4F332C0A"/>
    <w:rsid w:val="4F3771FC"/>
    <w:rsid w:val="4F433DC8"/>
    <w:rsid w:val="4F4364BE"/>
    <w:rsid w:val="4F4B51A5"/>
    <w:rsid w:val="4F4C48A4"/>
    <w:rsid w:val="4F5328A1"/>
    <w:rsid w:val="4F545D86"/>
    <w:rsid w:val="4F5C69E2"/>
    <w:rsid w:val="4F5E0042"/>
    <w:rsid w:val="4F672E4B"/>
    <w:rsid w:val="4F813B2E"/>
    <w:rsid w:val="4F834A60"/>
    <w:rsid w:val="4F94051C"/>
    <w:rsid w:val="4F9B5FF9"/>
    <w:rsid w:val="4FA14EEC"/>
    <w:rsid w:val="4FA407B6"/>
    <w:rsid w:val="4FA84227"/>
    <w:rsid w:val="4FAF6B47"/>
    <w:rsid w:val="4FB11D0A"/>
    <w:rsid w:val="4FBC3C5F"/>
    <w:rsid w:val="4FC04863"/>
    <w:rsid w:val="4FC15B68"/>
    <w:rsid w:val="4FC231DA"/>
    <w:rsid w:val="4FC3075F"/>
    <w:rsid w:val="4FCD5398"/>
    <w:rsid w:val="4FD64808"/>
    <w:rsid w:val="4FE223EE"/>
    <w:rsid w:val="4FE3097A"/>
    <w:rsid w:val="4FE51543"/>
    <w:rsid w:val="4FF64D3D"/>
    <w:rsid w:val="4FFD3A77"/>
    <w:rsid w:val="4FFD46C8"/>
    <w:rsid w:val="50142188"/>
    <w:rsid w:val="501B6F55"/>
    <w:rsid w:val="501F4F53"/>
    <w:rsid w:val="501F59A7"/>
    <w:rsid w:val="50235924"/>
    <w:rsid w:val="50290A0F"/>
    <w:rsid w:val="503642D7"/>
    <w:rsid w:val="503D3F59"/>
    <w:rsid w:val="503E02C1"/>
    <w:rsid w:val="505B02E5"/>
    <w:rsid w:val="50640487"/>
    <w:rsid w:val="50650862"/>
    <w:rsid w:val="50656382"/>
    <w:rsid w:val="50681179"/>
    <w:rsid w:val="50701B84"/>
    <w:rsid w:val="5075308D"/>
    <w:rsid w:val="50777CE9"/>
    <w:rsid w:val="508126D0"/>
    <w:rsid w:val="5095674A"/>
    <w:rsid w:val="509B32CD"/>
    <w:rsid w:val="50A01EE7"/>
    <w:rsid w:val="50A6221C"/>
    <w:rsid w:val="50AC4C20"/>
    <w:rsid w:val="50B61B8B"/>
    <w:rsid w:val="50B72BFD"/>
    <w:rsid w:val="50B928D0"/>
    <w:rsid w:val="50C13C5F"/>
    <w:rsid w:val="50C16C1C"/>
    <w:rsid w:val="50C54111"/>
    <w:rsid w:val="50C577D9"/>
    <w:rsid w:val="50CC5221"/>
    <w:rsid w:val="50DA6635"/>
    <w:rsid w:val="50DD75B9"/>
    <w:rsid w:val="50E00158"/>
    <w:rsid w:val="50E8434B"/>
    <w:rsid w:val="50F0291C"/>
    <w:rsid w:val="50F04F55"/>
    <w:rsid w:val="50F471DE"/>
    <w:rsid w:val="50F5073D"/>
    <w:rsid w:val="51016883"/>
    <w:rsid w:val="510703FD"/>
    <w:rsid w:val="51103841"/>
    <w:rsid w:val="51183F80"/>
    <w:rsid w:val="51201CFF"/>
    <w:rsid w:val="51286AE9"/>
    <w:rsid w:val="512963B4"/>
    <w:rsid w:val="514C5F8F"/>
    <w:rsid w:val="515B1B8F"/>
    <w:rsid w:val="51617293"/>
    <w:rsid w:val="516C5BB7"/>
    <w:rsid w:val="517A4EB9"/>
    <w:rsid w:val="51881606"/>
    <w:rsid w:val="518E2820"/>
    <w:rsid w:val="51915172"/>
    <w:rsid w:val="51AC5137"/>
    <w:rsid w:val="51B463DB"/>
    <w:rsid w:val="51BE68A7"/>
    <w:rsid w:val="51C31254"/>
    <w:rsid w:val="51C979DD"/>
    <w:rsid w:val="51E03964"/>
    <w:rsid w:val="51E11DA9"/>
    <w:rsid w:val="51E36417"/>
    <w:rsid w:val="51FD7691"/>
    <w:rsid w:val="520619A9"/>
    <w:rsid w:val="520A22AE"/>
    <w:rsid w:val="52132015"/>
    <w:rsid w:val="521450B8"/>
    <w:rsid w:val="52210B4A"/>
    <w:rsid w:val="52247A0F"/>
    <w:rsid w:val="522A0FEB"/>
    <w:rsid w:val="52301165"/>
    <w:rsid w:val="52337DB7"/>
    <w:rsid w:val="52383966"/>
    <w:rsid w:val="52385792"/>
    <w:rsid w:val="523D42DD"/>
    <w:rsid w:val="523F6AFF"/>
    <w:rsid w:val="524F31BF"/>
    <w:rsid w:val="52514A0D"/>
    <w:rsid w:val="5273265C"/>
    <w:rsid w:val="527833B2"/>
    <w:rsid w:val="528506DC"/>
    <w:rsid w:val="52853336"/>
    <w:rsid w:val="52881D50"/>
    <w:rsid w:val="52991222"/>
    <w:rsid w:val="529B3EC4"/>
    <w:rsid w:val="529C7876"/>
    <w:rsid w:val="529F18E6"/>
    <w:rsid w:val="52BB569C"/>
    <w:rsid w:val="52BE7E17"/>
    <w:rsid w:val="52C23008"/>
    <w:rsid w:val="52CB118B"/>
    <w:rsid w:val="52D65176"/>
    <w:rsid w:val="52DB19FD"/>
    <w:rsid w:val="52EE339D"/>
    <w:rsid w:val="5306292A"/>
    <w:rsid w:val="530822C8"/>
    <w:rsid w:val="530869BB"/>
    <w:rsid w:val="5314426D"/>
    <w:rsid w:val="531B0AE8"/>
    <w:rsid w:val="531C2067"/>
    <w:rsid w:val="531D1AFE"/>
    <w:rsid w:val="53324996"/>
    <w:rsid w:val="533A4153"/>
    <w:rsid w:val="533E1E81"/>
    <w:rsid w:val="535321C1"/>
    <w:rsid w:val="535940CA"/>
    <w:rsid w:val="536C33CB"/>
    <w:rsid w:val="536F3F83"/>
    <w:rsid w:val="536F7061"/>
    <w:rsid w:val="53703E8D"/>
    <w:rsid w:val="53707DDE"/>
    <w:rsid w:val="537D60B6"/>
    <w:rsid w:val="537E0058"/>
    <w:rsid w:val="538B3AD3"/>
    <w:rsid w:val="539223BE"/>
    <w:rsid w:val="53950AA6"/>
    <w:rsid w:val="539D38BA"/>
    <w:rsid w:val="53A876CC"/>
    <w:rsid w:val="53BF5670"/>
    <w:rsid w:val="53C502CE"/>
    <w:rsid w:val="53CD3C00"/>
    <w:rsid w:val="53D02F55"/>
    <w:rsid w:val="53E12D9E"/>
    <w:rsid w:val="53E64B1C"/>
    <w:rsid w:val="53E8652B"/>
    <w:rsid w:val="53EB486A"/>
    <w:rsid w:val="53EE67E9"/>
    <w:rsid w:val="53F342C8"/>
    <w:rsid w:val="53FD1C03"/>
    <w:rsid w:val="54020BC2"/>
    <w:rsid w:val="540310FA"/>
    <w:rsid w:val="54037045"/>
    <w:rsid w:val="540374BC"/>
    <w:rsid w:val="540632E9"/>
    <w:rsid w:val="540817F6"/>
    <w:rsid w:val="54105691"/>
    <w:rsid w:val="541212FA"/>
    <w:rsid w:val="54270E2A"/>
    <w:rsid w:val="543E515D"/>
    <w:rsid w:val="543F413B"/>
    <w:rsid w:val="544B0D54"/>
    <w:rsid w:val="544C2897"/>
    <w:rsid w:val="544F115F"/>
    <w:rsid w:val="54591CDE"/>
    <w:rsid w:val="545C6276"/>
    <w:rsid w:val="545E6E73"/>
    <w:rsid w:val="54625354"/>
    <w:rsid w:val="547E1CAE"/>
    <w:rsid w:val="54984A43"/>
    <w:rsid w:val="54BA080E"/>
    <w:rsid w:val="54C557E7"/>
    <w:rsid w:val="54C65EC0"/>
    <w:rsid w:val="54D43100"/>
    <w:rsid w:val="54F87B39"/>
    <w:rsid w:val="54FE451C"/>
    <w:rsid w:val="55187800"/>
    <w:rsid w:val="551A610F"/>
    <w:rsid w:val="55243733"/>
    <w:rsid w:val="552557D6"/>
    <w:rsid w:val="552760F6"/>
    <w:rsid w:val="552A09F4"/>
    <w:rsid w:val="552D2D4B"/>
    <w:rsid w:val="553079A4"/>
    <w:rsid w:val="5532296D"/>
    <w:rsid w:val="55372936"/>
    <w:rsid w:val="553C3366"/>
    <w:rsid w:val="55465E74"/>
    <w:rsid w:val="55472CA4"/>
    <w:rsid w:val="55481377"/>
    <w:rsid w:val="554D4D81"/>
    <w:rsid w:val="555154EE"/>
    <w:rsid w:val="5556068C"/>
    <w:rsid w:val="557B2E4B"/>
    <w:rsid w:val="558D1E6B"/>
    <w:rsid w:val="558F4A1E"/>
    <w:rsid w:val="55942252"/>
    <w:rsid w:val="55966EF8"/>
    <w:rsid w:val="55987FBD"/>
    <w:rsid w:val="559A4E37"/>
    <w:rsid w:val="559C5DB5"/>
    <w:rsid w:val="55AC361A"/>
    <w:rsid w:val="55B07AA1"/>
    <w:rsid w:val="55B22FA5"/>
    <w:rsid w:val="55B41C64"/>
    <w:rsid w:val="55B654BF"/>
    <w:rsid w:val="55EC1E85"/>
    <w:rsid w:val="55EC2897"/>
    <w:rsid w:val="55F5623C"/>
    <w:rsid w:val="55FA242D"/>
    <w:rsid w:val="55FA6DE6"/>
    <w:rsid w:val="55FB6EF0"/>
    <w:rsid w:val="560378AC"/>
    <w:rsid w:val="56073E8B"/>
    <w:rsid w:val="5624057A"/>
    <w:rsid w:val="562B51ED"/>
    <w:rsid w:val="5630640C"/>
    <w:rsid w:val="56376A81"/>
    <w:rsid w:val="564F1C59"/>
    <w:rsid w:val="5652120D"/>
    <w:rsid w:val="5652511E"/>
    <w:rsid w:val="56543A0D"/>
    <w:rsid w:val="566B50BC"/>
    <w:rsid w:val="56760CC4"/>
    <w:rsid w:val="567C3CF2"/>
    <w:rsid w:val="56974F90"/>
    <w:rsid w:val="569E1AC8"/>
    <w:rsid w:val="56A4132F"/>
    <w:rsid w:val="56A45460"/>
    <w:rsid w:val="56A81C8B"/>
    <w:rsid w:val="56AC279F"/>
    <w:rsid w:val="56AF2E6F"/>
    <w:rsid w:val="56B4565D"/>
    <w:rsid w:val="56BB7AC5"/>
    <w:rsid w:val="56DB3D0C"/>
    <w:rsid w:val="56DC160C"/>
    <w:rsid w:val="56DF0963"/>
    <w:rsid w:val="56E11FFE"/>
    <w:rsid w:val="56E2575C"/>
    <w:rsid w:val="56F37D3E"/>
    <w:rsid w:val="56F473C0"/>
    <w:rsid w:val="56FD3D8C"/>
    <w:rsid w:val="57065F83"/>
    <w:rsid w:val="57090CD1"/>
    <w:rsid w:val="57097BE4"/>
    <w:rsid w:val="570B6550"/>
    <w:rsid w:val="57196157"/>
    <w:rsid w:val="571B2939"/>
    <w:rsid w:val="571D7FF8"/>
    <w:rsid w:val="57427E88"/>
    <w:rsid w:val="57484C26"/>
    <w:rsid w:val="57561457"/>
    <w:rsid w:val="5758628A"/>
    <w:rsid w:val="575A0C81"/>
    <w:rsid w:val="575E6A47"/>
    <w:rsid w:val="57617889"/>
    <w:rsid w:val="57684BF4"/>
    <w:rsid w:val="576D4086"/>
    <w:rsid w:val="57713185"/>
    <w:rsid w:val="57745BB6"/>
    <w:rsid w:val="57776D7C"/>
    <w:rsid w:val="577D5302"/>
    <w:rsid w:val="5780798D"/>
    <w:rsid w:val="57814D52"/>
    <w:rsid w:val="57855787"/>
    <w:rsid w:val="578A1BF3"/>
    <w:rsid w:val="578B60AE"/>
    <w:rsid w:val="579953C3"/>
    <w:rsid w:val="579A2E45"/>
    <w:rsid w:val="579D4D85"/>
    <w:rsid w:val="57A17F6F"/>
    <w:rsid w:val="57A77F5C"/>
    <w:rsid w:val="57B02739"/>
    <w:rsid w:val="57BA13EC"/>
    <w:rsid w:val="57BD6C04"/>
    <w:rsid w:val="57C51573"/>
    <w:rsid w:val="57D02FC4"/>
    <w:rsid w:val="57D6036B"/>
    <w:rsid w:val="57DE28CC"/>
    <w:rsid w:val="57DF5F8B"/>
    <w:rsid w:val="57F325DA"/>
    <w:rsid w:val="57F57CDB"/>
    <w:rsid w:val="57FF606E"/>
    <w:rsid w:val="580524F4"/>
    <w:rsid w:val="580716CC"/>
    <w:rsid w:val="58076362"/>
    <w:rsid w:val="580E08D8"/>
    <w:rsid w:val="58220A26"/>
    <w:rsid w:val="58381DBD"/>
    <w:rsid w:val="5839086E"/>
    <w:rsid w:val="58394C38"/>
    <w:rsid w:val="58423CCA"/>
    <w:rsid w:val="584B7C06"/>
    <w:rsid w:val="58510290"/>
    <w:rsid w:val="58553705"/>
    <w:rsid w:val="5855370B"/>
    <w:rsid w:val="58590F71"/>
    <w:rsid w:val="58695A9C"/>
    <w:rsid w:val="58750991"/>
    <w:rsid w:val="58774DB2"/>
    <w:rsid w:val="589C176E"/>
    <w:rsid w:val="58B31DD9"/>
    <w:rsid w:val="58B32AFD"/>
    <w:rsid w:val="58B91125"/>
    <w:rsid w:val="58C64CF3"/>
    <w:rsid w:val="58CB3B78"/>
    <w:rsid w:val="58CE1CCF"/>
    <w:rsid w:val="58D21B64"/>
    <w:rsid w:val="58E1168D"/>
    <w:rsid w:val="58EE2472"/>
    <w:rsid w:val="58F22C4C"/>
    <w:rsid w:val="58FA7086"/>
    <w:rsid w:val="590A18DC"/>
    <w:rsid w:val="590D2328"/>
    <w:rsid w:val="590F51DD"/>
    <w:rsid w:val="59232C0B"/>
    <w:rsid w:val="59253C51"/>
    <w:rsid w:val="593A62F9"/>
    <w:rsid w:val="594D06B7"/>
    <w:rsid w:val="594E4C34"/>
    <w:rsid w:val="5952037F"/>
    <w:rsid w:val="59561B11"/>
    <w:rsid w:val="5956560A"/>
    <w:rsid w:val="595B4CF8"/>
    <w:rsid w:val="59600D8B"/>
    <w:rsid w:val="5964723E"/>
    <w:rsid w:val="59672838"/>
    <w:rsid w:val="59820767"/>
    <w:rsid w:val="59876FC0"/>
    <w:rsid w:val="598A6F73"/>
    <w:rsid w:val="598B4E15"/>
    <w:rsid w:val="598D03EC"/>
    <w:rsid w:val="598D7696"/>
    <w:rsid w:val="59970566"/>
    <w:rsid w:val="59993E04"/>
    <w:rsid w:val="599C0038"/>
    <w:rsid w:val="59C35A05"/>
    <w:rsid w:val="59C43D4D"/>
    <w:rsid w:val="59C51FD2"/>
    <w:rsid w:val="59C83A39"/>
    <w:rsid w:val="59EB4913"/>
    <w:rsid w:val="59EF54EB"/>
    <w:rsid w:val="59EF72F7"/>
    <w:rsid w:val="59F31D20"/>
    <w:rsid w:val="59F7086A"/>
    <w:rsid w:val="59FB18DA"/>
    <w:rsid w:val="5A053C14"/>
    <w:rsid w:val="5A0A1A6E"/>
    <w:rsid w:val="5A1B7661"/>
    <w:rsid w:val="5A1E308F"/>
    <w:rsid w:val="5A261DCD"/>
    <w:rsid w:val="5A361544"/>
    <w:rsid w:val="5A3F108A"/>
    <w:rsid w:val="5A420BA5"/>
    <w:rsid w:val="5A485CEB"/>
    <w:rsid w:val="5A5A5B50"/>
    <w:rsid w:val="5A5B363C"/>
    <w:rsid w:val="5A5C45C2"/>
    <w:rsid w:val="5A680CD4"/>
    <w:rsid w:val="5A6D76C0"/>
    <w:rsid w:val="5A7003F0"/>
    <w:rsid w:val="5A723A0D"/>
    <w:rsid w:val="5A731374"/>
    <w:rsid w:val="5A762255"/>
    <w:rsid w:val="5A833B0D"/>
    <w:rsid w:val="5A9D621A"/>
    <w:rsid w:val="5AA62E48"/>
    <w:rsid w:val="5AAB1D93"/>
    <w:rsid w:val="5AB17106"/>
    <w:rsid w:val="5AC219D6"/>
    <w:rsid w:val="5AC36F56"/>
    <w:rsid w:val="5ACF2987"/>
    <w:rsid w:val="5ACF40CD"/>
    <w:rsid w:val="5ACF53EE"/>
    <w:rsid w:val="5AD03C8C"/>
    <w:rsid w:val="5AD240D0"/>
    <w:rsid w:val="5ADF64A5"/>
    <w:rsid w:val="5AE91F64"/>
    <w:rsid w:val="5AEA4836"/>
    <w:rsid w:val="5AFA2547"/>
    <w:rsid w:val="5AFD3B96"/>
    <w:rsid w:val="5B0453E0"/>
    <w:rsid w:val="5B0C640C"/>
    <w:rsid w:val="5B2D305D"/>
    <w:rsid w:val="5B2F0FF1"/>
    <w:rsid w:val="5B351432"/>
    <w:rsid w:val="5B4361C9"/>
    <w:rsid w:val="5B443E9C"/>
    <w:rsid w:val="5B4F1FDC"/>
    <w:rsid w:val="5B707739"/>
    <w:rsid w:val="5B710FBC"/>
    <w:rsid w:val="5B7C6858"/>
    <w:rsid w:val="5B821531"/>
    <w:rsid w:val="5B853B2A"/>
    <w:rsid w:val="5B9104C7"/>
    <w:rsid w:val="5B956906"/>
    <w:rsid w:val="5B9D42DA"/>
    <w:rsid w:val="5BA26195"/>
    <w:rsid w:val="5BA657F5"/>
    <w:rsid w:val="5BB43EFF"/>
    <w:rsid w:val="5BC24519"/>
    <w:rsid w:val="5BC866DE"/>
    <w:rsid w:val="5BC92512"/>
    <w:rsid w:val="5BCA5D03"/>
    <w:rsid w:val="5BCE4EA4"/>
    <w:rsid w:val="5BD209C4"/>
    <w:rsid w:val="5BD57CB7"/>
    <w:rsid w:val="5BD637EC"/>
    <w:rsid w:val="5BDE5A43"/>
    <w:rsid w:val="5BE0323A"/>
    <w:rsid w:val="5BE84759"/>
    <w:rsid w:val="5BF501EB"/>
    <w:rsid w:val="5BF92475"/>
    <w:rsid w:val="5C153EE9"/>
    <w:rsid w:val="5C1B7F5F"/>
    <w:rsid w:val="5C204209"/>
    <w:rsid w:val="5C227DB6"/>
    <w:rsid w:val="5C2432B9"/>
    <w:rsid w:val="5C34166A"/>
    <w:rsid w:val="5C402575"/>
    <w:rsid w:val="5C42366F"/>
    <w:rsid w:val="5C4A36B7"/>
    <w:rsid w:val="5C4A56F7"/>
    <w:rsid w:val="5C4E44D4"/>
    <w:rsid w:val="5C4F66E0"/>
    <w:rsid w:val="5C515082"/>
    <w:rsid w:val="5C5552A6"/>
    <w:rsid w:val="5C677428"/>
    <w:rsid w:val="5C7F48CC"/>
    <w:rsid w:val="5C825851"/>
    <w:rsid w:val="5C944872"/>
    <w:rsid w:val="5CA6258E"/>
    <w:rsid w:val="5CB97030"/>
    <w:rsid w:val="5CD7479C"/>
    <w:rsid w:val="5CE12CC2"/>
    <w:rsid w:val="5CE536CF"/>
    <w:rsid w:val="5CE568F8"/>
    <w:rsid w:val="5CF33064"/>
    <w:rsid w:val="5D055E2A"/>
    <w:rsid w:val="5D0576C4"/>
    <w:rsid w:val="5D0C57B5"/>
    <w:rsid w:val="5D0E453B"/>
    <w:rsid w:val="5D1715C8"/>
    <w:rsid w:val="5D1F69D4"/>
    <w:rsid w:val="5D230368"/>
    <w:rsid w:val="5D255730"/>
    <w:rsid w:val="5D3D4EE6"/>
    <w:rsid w:val="5D534F69"/>
    <w:rsid w:val="5D5667E0"/>
    <w:rsid w:val="5D580881"/>
    <w:rsid w:val="5D6261CB"/>
    <w:rsid w:val="5D633394"/>
    <w:rsid w:val="5D7E0072"/>
    <w:rsid w:val="5D9C1821"/>
    <w:rsid w:val="5D9C7622"/>
    <w:rsid w:val="5DA13534"/>
    <w:rsid w:val="5DAE2DC0"/>
    <w:rsid w:val="5DBD2E94"/>
    <w:rsid w:val="5DCB56EC"/>
    <w:rsid w:val="5DD067F8"/>
    <w:rsid w:val="5DD3703F"/>
    <w:rsid w:val="5DD43000"/>
    <w:rsid w:val="5DDA7107"/>
    <w:rsid w:val="5DDB6067"/>
    <w:rsid w:val="5DE04E29"/>
    <w:rsid w:val="5DE448D2"/>
    <w:rsid w:val="5DE62F1A"/>
    <w:rsid w:val="5DED0B0B"/>
    <w:rsid w:val="5DF441FF"/>
    <w:rsid w:val="5DF47CB1"/>
    <w:rsid w:val="5E0A7399"/>
    <w:rsid w:val="5E1463C6"/>
    <w:rsid w:val="5E153A69"/>
    <w:rsid w:val="5E1A20EF"/>
    <w:rsid w:val="5E1E6113"/>
    <w:rsid w:val="5E285722"/>
    <w:rsid w:val="5E325597"/>
    <w:rsid w:val="5E3B4D31"/>
    <w:rsid w:val="5E3E65D1"/>
    <w:rsid w:val="5E45203A"/>
    <w:rsid w:val="5E47553D"/>
    <w:rsid w:val="5E4B7A1D"/>
    <w:rsid w:val="5E4F4B48"/>
    <w:rsid w:val="5E50050F"/>
    <w:rsid w:val="5E5D04EF"/>
    <w:rsid w:val="5E6058A9"/>
    <w:rsid w:val="5E68591D"/>
    <w:rsid w:val="5E692F9A"/>
    <w:rsid w:val="5E6C2C6B"/>
    <w:rsid w:val="5E731D18"/>
    <w:rsid w:val="5E742249"/>
    <w:rsid w:val="5E754D87"/>
    <w:rsid w:val="5E7E253A"/>
    <w:rsid w:val="5E817BAE"/>
    <w:rsid w:val="5E841B1E"/>
    <w:rsid w:val="5E870DE0"/>
    <w:rsid w:val="5E912F6A"/>
    <w:rsid w:val="5E9E597C"/>
    <w:rsid w:val="5EA15379"/>
    <w:rsid w:val="5EA97C8F"/>
    <w:rsid w:val="5EB732BA"/>
    <w:rsid w:val="5EBC76FA"/>
    <w:rsid w:val="5EBD517B"/>
    <w:rsid w:val="5EBE2BFD"/>
    <w:rsid w:val="5EC16D37"/>
    <w:rsid w:val="5ECA3DF8"/>
    <w:rsid w:val="5ECC1F13"/>
    <w:rsid w:val="5ECE195E"/>
    <w:rsid w:val="5EDC21AD"/>
    <w:rsid w:val="5EDD34B2"/>
    <w:rsid w:val="5EDE1CAC"/>
    <w:rsid w:val="5EE81843"/>
    <w:rsid w:val="5EE86EFA"/>
    <w:rsid w:val="5EEA6F44"/>
    <w:rsid w:val="5EEC0249"/>
    <w:rsid w:val="5EED3932"/>
    <w:rsid w:val="5EED45AB"/>
    <w:rsid w:val="5EEF23A7"/>
    <w:rsid w:val="5F0936DE"/>
    <w:rsid w:val="5F107184"/>
    <w:rsid w:val="5F165565"/>
    <w:rsid w:val="5F171517"/>
    <w:rsid w:val="5F1E74F2"/>
    <w:rsid w:val="5F2E1FB7"/>
    <w:rsid w:val="5F401ED1"/>
    <w:rsid w:val="5F530EF2"/>
    <w:rsid w:val="5F5F2786"/>
    <w:rsid w:val="5F62295E"/>
    <w:rsid w:val="5F685614"/>
    <w:rsid w:val="5F700C2B"/>
    <w:rsid w:val="5F721C1C"/>
    <w:rsid w:val="5F7D16C2"/>
    <w:rsid w:val="5F860448"/>
    <w:rsid w:val="5F892553"/>
    <w:rsid w:val="5F9569BE"/>
    <w:rsid w:val="5F995DE3"/>
    <w:rsid w:val="5FA263AE"/>
    <w:rsid w:val="5FA45185"/>
    <w:rsid w:val="5FAB77AE"/>
    <w:rsid w:val="5FB301BB"/>
    <w:rsid w:val="5FB66778"/>
    <w:rsid w:val="5FCF7A4A"/>
    <w:rsid w:val="5FD14660"/>
    <w:rsid w:val="5FD2177E"/>
    <w:rsid w:val="5FD22AC5"/>
    <w:rsid w:val="5FE61766"/>
    <w:rsid w:val="5FFE3CB5"/>
    <w:rsid w:val="6001450E"/>
    <w:rsid w:val="600606A1"/>
    <w:rsid w:val="600808E3"/>
    <w:rsid w:val="60087F08"/>
    <w:rsid w:val="600A6271"/>
    <w:rsid w:val="600E2D86"/>
    <w:rsid w:val="601B12D0"/>
    <w:rsid w:val="60232A0F"/>
    <w:rsid w:val="60252D65"/>
    <w:rsid w:val="602D3D16"/>
    <w:rsid w:val="60357E4D"/>
    <w:rsid w:val="60394CB2"/>
    <w:rsid w:val="603E65DF"/>
    <w:rsid w:val="60443CFE"/>
    <w:rsid w:val="6046706E"/>
    <w:rsid w:val="60492B3E"/>
    <w:rsid w:val="604C140E"/>
    <w:rsid w:val="6051159A"/>
    <w:rsid w:val="60565E64"/>
    <w:rsid w:val="60594106"/>
    <w:rsid w:val="60710045"/>
    <w:rsid w:val="60870AEB"/>
    <w:rsid w:val="6089047C"/>
    <w:rsid w:val="608D4CE3"/>
    <w:rsid w:val="60A6194B"/>
    <w:rsid w:val="60A859A2"/>
    <w:rsid w:val="60AB29AA"/>
    <w:rsid w:val="60AB682C"/>
    <w:rsid w:val="60AC67BD"/>
    <w:rsid w:val="60AD5CAC"/>
    <w:rsid w:val="60C06489"/>
    <w:rsid w:val="60C8248D"/>
    <w:rsid w:val="60CE2A0E"/>
    <w:rsid w:val="60DD2BF7"/>
    <w:rsid w:val="60DD7ADC"/>
    <w:rsid w:val="60E81DBB"/>
    <w:rsid w:val="60ED7DC9"/>
    <w:rsid w:val="60F25866"/>
    <w:rsid w:val="61004761"/>
    <w:rsid w:val="61063752"/>
    <w:rsid w:val="610E2FD4"/>
    <w:rsid w:val="611159D0"/>
    <w:rsid w:val="611D5644"/>
    <w:rsid w:val="61204933"/>
    <w:rsid w:val="612354B4"/>
    <w:rsid w:val="612358EA"/>
    <w:rsid w:val="61351A56"/>
    <w:rsid w:val="613E3F16"/>
    <w:rsid w:val="613F62A8"/>
    <w:rsid w:val="61415F87"/>
    <w:rsid w:val="614A51BA"/>
    <w:rsid w:val="61596339"/>
    <w:rsid w:val="615A223E"/>
    <w:rsid w:val="615B47A6"/>
    <w:rsid w:val="615E224C"/>
    <w:rsid w:val="615F5027"/>
    <w:rsid w:val="616435A6"/>
    <w:rsid w:val="617407F9"/>
    <w:rsid w:val="61763176"/>
    <w:rsid w:val="61765A6E"/>
    <w:rsid w:val="617D4CFF"/>
    <w:rsid w:val="6180664F"/>
    <w:rsid w:val="619052BD"/>
    <w:rsid w:val="61920AE7"/>
    <w:rsid w:val="619940E6"/>
    <w:rsid w:val="61A274BD"/>
    <w:rsid w:val="61A6014E"/>
    <w:rsid w:val="61A7141F"/>
    <w:rsid w:val="61D63921"/>
    <w:rsid w:val="61DB724C"/>
    <w:rsid w:val="61DD07F6"/>
    <w:rsid w:val="61E6342A"/>
    <w:rsid w:val="61EE4C3C"/>
    <w:rsid w:val="61F017BB"/>
    <w:rsid w:val="61F439C5"/>
    <w:rsid w:val="61F443E9"/>
    <w:rsid w:val="61F61B0C"/>
    <w:rsid w:val="61F84262"/>
    <w:rsid w:val="62200CC3"/>
    <w:rsid w:val="62213533"/>
    <w:rsid w:val="62270D05"/>
    <w:rsid w:val="62282D1D"/>
    <w:rsid w:val="623663BB"/>
    <w:rsid w:val="62461BF2"/>
    <w:rsid w:val="624A00EA"/>
    <w:rsid w:val="625A2CAE"/>
    <w:rsid w:val="62607426"/>
    <w:rsid w:val="626D2409"/>
    <w:rsid w:val="62867444"/>
    <w:rsid w:val="628B741B"/>
    <w:rsid w:val="629810C3"/>
    <w:rsid w:val="629D7EE8"/>
    <w:rsid w:val="62A63868"/>
    <w:rsid w:val="62B06376"/>
    <w:rsid w:val="62B705DA"/>
    <w:rsid w:val="62BC107A"/>
    <w:rsid w:val="62BD4ECC"/>
    <w:rsid w:val="62C73A65"/>
    <w:rsid w:val="62D50998"/>
    <w:rsid w:val="62DE5BC0"/>
    <w:rsid w:val="62E7507D"/>
    <w:rsid w:val="62F67597"/>
    <w:rsid w:val="630503D7"/>
    <w:rsid w:val="63056D1B"/>
    <w:rsid w:val="630C34D0"/>
    <w:rsid w:val="63173061"/>
    <w:rsid w:val="631E48B7"/>
    <w:rsid w:val="6322080B"/>
    <w:rsid w:val="632921B9"/>
    <w:rsid w:val="632E6C44"/>
    <w:rsid w:val="633F4960"/>
    <w:rsid w:val="63490AF3"/>
    <w:rsid w:val="634C1546"/>
    <w:rsid w:val="635F6BBD"/>
    <w:rsid w:val="636B232C"/>
    <w:rsid w:val="638031CB"/>
    <w:rsid w:val="6388340F"/>
    <w:rsid w:val="638C5281"/>
    <w:rsid w:val="638F7AFC"/>
    <w:rsid w:val="639215D8"/>
    <w:rsid w:val="63926BE7"/>
    <w:rsid w:val="639B507A"/>
    <w:rsid w:val="63A36BE5"/>
    <w:rsid w:val="63A8247C"/>
    <w:rsid w:val="63B934B7"/>
    <w:rsid w:val="63C04B8A"/>
    <w:rsid w:val="63D42229"/>
    <w:rsid w:val="63D42C55"/>
    <w:rsid w:val="63D73BDA"/>
    <w:rsid w:val="63D8474D"/>
    <w:rsid w:val="63DB746A"/>
    <w:rsid w:val="63E5033D"/>
    <w:rsid w:val="63EA4DF9"/>
    <w:rsid w:val="63EB60FE"/>
    <w:rsid w:val="63EE162B"/>
    <w:rsid w:val="63F75B8A"/>
    <w:rsid w:val="640310C7"/>
    <w:rsid w:val="640F0C5E"/>
    <w:rsid w:val="64130685"/>
    <w:rsid w:val="64155C8D"/>
    <w:rsid w:val="64161140"/>
    <w:rsid w:val="641A29D9"/>
    <w:rsid w:val="641B0760"/>
    <w:rsid w:val="641D00AF"/>
    <w:rsid w:val="641D74E0"/>
    <w:rsid w:val="641E1DE4"/>
    <w:rsid w:val="64203CB4"/>
    <w:rsid w:val="64222857"/>
    <w:rsid w:val="64335EB1"/>
    <w:rsid w:val="643519B3"/>
    <w:rsid w:val="643F48DC"/>
    <w:rsid w:val="64433CD0"/>
    <w:rsid w:val="64475192"/>
    <w:rsid w:val="64495F72"/>
    <w:rsid w:val="644B199A"/>
    <w:rsid w:val="644B25BC"/>
    <w:rsid w:val="64570B28"/>
    <w:rsid w:val="645779AB"/>
    <w:rsid w:val="64580D33"/>
    <w:rsid w:val="646005E6"/>
    <w:rsid w:val="646754AC"/>
    <w:rsid w:val="646975D9"/>
    <w:rsid w:val="647F6D16"/>
    <w:rsid w:val="64844824"/>
    <w:rsid w:val="64976216"/>
    <w:rsid w:val="6498217B"/>
    <w:rsid w:val="64987FF4"/>
    <w:rsid w:val="649E5BA1"/>
    <w:rsid w:val="64A473F3"/>
    <w:rsid w:val="64C92268"/>
    <w:rsid w:val="64CA7CEA"/>
    <w:rsid w:val="64D0513C"/>
    <w:rsid w:val="64DC7048"/>
    <w:rsid w:val="64EB1866"/>
    <w:rsid w:val="64F702F2"/>
    <w:rsid w:val="650B0753"/>
    <w:rsid w:val="651424EE"/>
    <w:rsid w:val="651E51F6"/>
    <w:rsid w:val="65257BC1"/>
    <w:rsid w:val="65287A29"/>
    <w:rsid w:val="65297D03"/>
    <w:rsid w:val="65415552"/>
    <w:rsid w:val="65537EF9"/>
    <w:rsid w:val="655E1155"/>
    <w:rsid w:val="655F4773"/>
    <w:rsid w:val="65636455"/>
    <w:rsid w:val="65736E7E"/>
    <w:rsid w:val="657962B9"/>
    <w:rsid w:val="658C5741"/>
    <w:rsid w:val="659E7432"/>
    <w:rsid w:val="65A240BE"/>
    <w:rsid w:val="65A273A9"/>
    <w:rsid w:val="65A924D2"/>
    <w:rsid w:val="65AE5114"/>
    <w:rsid w:val="65B61DD9"/>
    <w:rsid w:val="65B66656"/>
    <w:rsid w:val="65BB5075"/>
    <w:rsid w:val="65C0580D"/>
    <w:rsid w:val="65C149FF"/>
    <w:rsid w:val="65C76D0B"/>
    <w:rsid w:val="65CB5A52"/>
    <w:rsid w:val="65D23BC4"/>
    <w:rsid w:val="65FE41D7"/>
    <w:rsid w:val="66002819"/>
    <w:rsid w:val="662861DC"/>
    <w:rsid w:val="66286B79"/>
    <w:rsid w:val="662F5033"/>
    <w:rsid w:val="66306F43"/>
    <w:rsid w:val="66326E97"/>
    <w:rsid w:val="663848B9"/>
    <w:rsid w:val="663933C4"/>
    <w:rsid w:val="663F4723"/>
    <w:rsid w:val="6640163E"/>
    <w:rsid w:val="6640730C"/>
    <w:rsid w:val="664615E7"/>
    <w:rsid w:val="66513470"/>
    <w:rsid w:val="66515E90"/>
    <w:rsid w:val="665265F4"/>
    <w:rsid w:val="66540438"/>
    <w:rsid w:val="66634353"/>
    <w:rsid w:val="6679056C"/>
    <w:rsid w:val="6684253E"/>
    <w:rsid w:val="66903DD3"/>
    <w:rsid w:val="66943E18"/>
    <w:rsid w:val="6699652A"/>
    <w:rsid w:val="66A10ECF"/>
    <w:rsid w:val="66A93110"/>
    <w:rsid w:val="66AB08E7"/>
    <w:rsid w:val="66AC664F"/>
    <w:rsid w:val="66AF2B2C"/>
    <w:rsid w:val="66B372BF"/>
    <w:rsid w:val="66B41A4A"/>
    <w:rsid w:val="66C2220F"/>
    <w:rsid w:val="66C45526"/>
    <w:rsid w:val="66DB2A60"/>
    <w:rsid w:val="66E42A4D"/>
    <w:rsid w:val="66EC68BC"/>
    <w:rsid w:val="66F0190D"/>
    <w:rsid w:val="66FE4406"/>
    <w:rsid w:val="67064E16"/>
    <w:rsid w:val="670B0EC0"/>
    <w:rsid w:val="670D6C1F"/>
    <w:rsid w:val="670F0B32"/>
    <w:rsid w:val="671723BE"/>
    <w:rsid w:val="671B479E"/>
    <w:rsid w:val="672833FF"/>
    <w:rsid w:val="67290ACE"/>
    <w:rsid w:val="6738767F"/>
    <w:rsid w:val="673C1CED"/>
    <w:rsid w:val="67447CAA"/>
    <w:rsid w:val="67547394"/>
    <w:rsid w:val="67572AA2"/>
    <w:rsid w:val="675B2F4B"/>
    <w:rsid w:val="67603184"/>
    <w:rsid w:val="676569B0"/>
    <w:rsid w:val="676E53AF"/>
    <w:rsid w:val="67703441"/>
    <w:rsid w:val="6772565E"/>
    <w:rsid w:val="67830DB6"/>
    <w:rsid w:val="678F5EF4"/>
    <w:rsid w:val="679C72E6"/>
    <w:rsid w:val="679D7D9D"/>
    <w:rsid w:val="67A16316"/>
    <w:rsid w:val="67B2192C"/>
    <w:rsid w:val="67B52945"/>
    <w:rsid w:val="67B84A87"/>
    <w:rsid w:val="67CA2856"/>
    <w:rsid w:val="67D5396B"/>
    <w:rsid w:val="67DE14F6"/>
    <w:rsid w:val="67E24A58"/>
    <w:rsid w:val="67E76177"/>
    <w:rsid w:val="67E967D4"/>
    <w:rsid w:val="67EA1DE2"/>
    <w:rsid w:val="67F51F5D"/>
    <w:rsid w:val="68014B1A"/>
    <w:rsid w:val="68112B7C"/>
    <w:rsid w:val="681C0F9C"/>
    <w:rsid w:val="68280A59"/>
    <w:rsid w:val="682D188D"/>
    <w:rsid w:val="682D49B9"/>
    <w:rsid w:val="68305A7D"/>
    <w:rsid w:val="6845021D"/>
    <w:rsid w:val="684B40A8"/>
    <w:rsid w:val="684D2590"/>
    <w:rsid w:val="685448E5"/>
    <w:rsid w:val="68562439"/>
    <w:rsid w:val="68567ADB"/>
    <w:rsid w:val="685A52F7"/>
    <w:rsid w:val="685F4499"/>
    <w:rsid w:val="686007CB"/>
    <w:rsid w:val="686301D2"/>
    <w:rsid w:val="686F32ED"/>
    <w:rsid w:val="68763CFB"/>
    <w:rsid w:val="68775B46"/>
    <w:rsid w:val="687E7D7B"/>
    <w:rsid w:val="68847799"/>
    <w:rsid w:val="689E6C51"/>
    <w:rsid w:val="68AB1911"/>
    <w:rsid w:val="68AC2E48"/>
    <w:rsid w:val="68AC7864"/>
    <w:rsid w:val="68B63758"/>
    <w:rsid w:val="68B92688"/>
    <w:rsid w:val="68BD141F"/>
    <w:rsid w:val="68C2312F"/>
    <w:rsid w:val="68CC74D0"/>
    <w:rsid w:val="68CD117F"/>
    <w:rsid w:val="68CE0DFE"/>
    <w:rsid w:val="68D046DE"/>
    <w:rsid w:val="68DD058C"/>
    <w:rsid w:val="68E301D6"/>
    <w:rsid w:val="68E84B74"/>
    <w:rsid w:val="68F62434"/>
    <w:rsid w:val="690300E6"/>
    <w:rsid w:val="690E546B"/>
    <w:rsid w:val="691F004A"/>
    <w:rsid w:val="69203F0E"/>
    <w:rsid w:val="692563EE"/>
    <w:rsid w:val="692D20AF"/>
    <w:rsid w:val="692D6BB4"/>
    <w:rsid w:val="693224AE"/>
    <w:rsid w:val="693A17B3"/>
    <w:rsid w:val="69456602"/>
    <w:rsid w:val="69457B44"/>
    <w:rsid w:val="6951179F"/>
    <w:rsid w:val="69521102"/>
    <w:rsid w:val="69624FCF"/>
    <w:rsid w:val="6965727E"/>
    <w:rsid w:val="69750F1B"/>
    <w:rsid w:val="69781FA1"/>
    <w:rsid w:val="69785369"/>
    <w:rsid w:val="697B19FC"/>
    <w:rsid w:val="697C7276"/>
    <w:rsid w:val="697F0C22"/>
    <w:rsid w:val="69950BC7"/>
    <w:rsid w:val="69981B4C"/>
    <w:rsid w:val="69983D4A"/>
    <w:rsid w:val="699D67CF"/>
    <w:rsid w:val="699E14D7"/>
    <w:rsid w:val="69A47B5D"/>
    <w:rsid w:val="69AB32EC"/>
    <w:rsid w:val="69AE77B4"/>
    <w:rsid w:val="69BA5584"/>
    <w:rsid w:val="69C0232F"/>
    <w:rsid w:val="69C62E9A"/>
    <w:rsid w:val="69D064D5"/>
    <w:rsid w:val="69D9569F"/>
    <w:rsid w:val="69DA0903"/>
    <w:rsid w:val="69DE22C1"/>
    <w:rsid w:val="69E13245"/>
    <w:rsid w:val="69F076EC"/>
    <w:rsid w:val="6A0C4C59"/>
    <w:rsid w:val="6A0C7811"/>
    <w:rsid w:val="6A0D3432"/>
    <w:rsid w:val="6A0E77F1"/>
    <w:rsid w:val="6A104C8E"/>
    <w:rsid w:val="6A1B06CD"/>
    <w:rsid w:val="6A1B22BF"/>
    <w:rsid w:val="6A28295C"/>
    <w:rsid w:val="6A2E7184"/>
    <w:rsid w:val="6A3001E9"/>
    <w:rsid w:val="6A305861"/>
    <w:rsid w:val="6A55161C"/>
    <w:rsid w:val="6A5D6ABC"/>
    <w:rsid w:val="6A5F4B38"/>
    <w:rsid w:val="6A65568E"/>
    <w:rsid w:val="6A7172B1"/>
    <w:rsid w:val="6A8213EE"/>
    <w:rsid w:val="6A87042F"/>
    <w:rsid w:val="6A9042E2"/>
    <w:rsid w:val="6A9553FE"/>
    <w:rsid w:val="6A9F4AA5"/>
    <w:rsid w:val="6AA1457D"/>
    <w:rsid w:val="6AB4579C"/>
    <w:rsid w:val="6ABF796A"/>
    <w:rsid w:val="6AC13145"/>
    <w:rsid w:val="6AC30E38"/>
    <w:rsid w:val="6ACE1BC9"/>
    <w:rsid w:val="6ADB66AC"/>
    <w:rsid w:val="6ADD74FD"/>
    <w:rsid w:val="6AE20869"/>
    <w:rsid w:val="6AE3471E"/>
    <w:rsid w:val="6AEA62D3"/>
    <w:rsid w:val="6AEE0C73"/>
    <w:rsid w:val="6AF6662F"/>
    <w:rsid w:val="6AFA5F10"/>
    <w:rsid w:val="6B0F0434"/>
    <w:rsid w:val="6B161FBD"/>
    <w:rsid w:val="6B26156E"/>
    <w:rsid w:val="6B275ADB"/>
    <w:rsid w:val="6B290FDE"/>
    <w:rsid w:val="6B2A6A5F"/>
    <w:rsid w:val="6B3816B9"/>
    <w:rsid w:val="6B570F9E"/>
    <w:rsid w:val="6B704D44"/>
    <w:rsid w:val="6B7867DE"/>
    <w:rsid w:val="6B7A4A17"/>
    <w:rsid w:val="6B7F1BF6"/>
    <w:rsid w:val="6B8F6404"/>
    <w:rsid w:val="6B9171E7"/>
    <w:rsid w:val="6B9512FD"/>
    <w:rsid w:val="6BB554FE"/>
    <w:rsid w:val="6BB77D0A"/>
    <w:rsid w:val="6BB875C8"/>
    <w:rsid w:val="6BB87BB7"/>
    <w:rsid w:val="6BC12EDC"/>
    <w:rsid w:val="6BC2294D"/>
    <w:rsid w:val="6BC71DE1"/>
    <w:rsid w:val="6BCA2D65"/>
    <w:rsid w:val="6BDA0E02"/>
    <w:rsid w:val="6BE02D0B"/>
    <w:rsid w:val="6BE255D8"/>
    <w:rsid w:val="6BE76A97"/>
    <w:rsid w:val="6BED679D"/>
    <w:rsid w:val="6BF056A3"/>
    <w:rsid w:val="6BF11FF8"/>
    <w:rsid w:val="6BF43FAF"/>
    <w:rsid w:val="6BFB1AB8"/>
    <w:rsid w:val="6BFB78C8"/>
    <w:rsid w:val="6BFE61C2"/>
    <w:rsid w:val="6C0309D8"/>
    <w:rsid w:val="6C1363EA"/>
    <w:rsid w:val="6C157962"/>
    <w:rsid w:val="6C1F175D"/>
    <w:rsid w:val="6C257D90"/>
    <w:rsid w:val="6C257DDA"/>
    <w:rsid w:val="6C3E480C"/>
    <w:rsid w:val="6C496EB7"/>
    <w:rsid w:val="6C4A348A"/>
    <w:rsid w:val="6C4A4478"/>
    <w:rsid w:val="6C5002D5"/>
    <w:rsid w:val="6C6700AC"/>
    <w:rsid w:val="6C6E2EE4"/>
    <w:rsid w:val="6C777224"/>
    <w:rsid w:val="6C83219C"/>
    <w:rsid w:val="6C833B41"/>
    <w:rsid w:val="6C953733"/>
    <w:rsid w:val="6C9803A4"/>
    <w:rsid w:val="6CB01D5E"/>
    <w:rsid w:val="6CB5662E"/>
    <w:rsid w:val="6CB761C7"/>
    <w:rsid w:val="6CC66FB4"/>
    <w:rsid w:val="6CC839C0"/>
    <w:rsid w:val="6CC92C88"/>
    <w:rsid w:val="6CD323B8"/>
    <w:rsid w:val="6CF33107"/>
    <w:rsid w:val="6D0B1173"/>
    <w:rsid w:val="6D0D47A4"/>
    <w:rsid w:val="6D11307D"/>
    <w:rsid w:val="6D23681A"/>
    <w:rsid w:val="6D243939"/>
    <w:rsid w:val="6D303931"/>
    <w:rsid w:val="6D3125B4"/>
    <w:rsid w:val="6D447778"/>
    <w:rsid w:val="6D4A5F2F"/>
    <w:rsid w:val="6D527212"/>
    <w:rsid w:val="6D54665C"/>
    <w:rsid w:val="6D5D5B32"/>
    <w:rsid w:val="6D620170"/>
    <w:rsid w:val="6D621B82"/>
    <w:rsid w:val="6D652B07"/>
    <w:rsid w:val="6D740BA3"/>
    <w:rsid w:val="6D777E6B"/>
    <w:rsid w:val="6D7F746A"/>
    <w:rsid w:val="6D84645E"/>
    <w:rsid w:val="6D853CDD"/>
    <w:rsid w:val="6D8807AB"/>
    <w:rsid w:val="6D8F437E"/>
    <w:rsid w:val="6D990245"/>
    <w:rsid w:val="6D997573"/>
    <w:rsid w:val="6D9F38D0"/>
    <w:rsid w:val="6DA026C8"/>
    <w:rsid w:val="6DA46B38"/>
    <w:rsid w:val="6DB46943"/>
    <w:rsid w:val="6DC62455"/>
    <w:rsid w:val="6DC9282B"/>
    <w:rsid w:val="6DC95E1A"/>
    <w:rsid w:val="6DD63018"/>
    <w:rsid w:val="6DF1016C"/>
    <w:rsid w:val="6DF8337A"/>
    <w:rsid w:val="6E035FBA"/>
    <w:rsid w:val="6E123F60"/>
    <w:rsid w:val="6E130BF0"/>
    <w:rsid w:val="6E185E2D"/>
    <w:rsid w:val="6E3F466A"/>
    <w:rsid w:val="6E4B02B6"/>
    <w:rsid w:val="6E4D7D3F"/>
    <w:rsid w:val="6E5231A4"/>
    <w:rsid w:val="6E5A40EE"/>
    <w:rsid w:val="6E5B561D"/>
    <w:rsid w:val="6E671D27"/>
    <w:rsid w:val="6E686BA4"/>
    <w:rsid w:val="6E6C58B8"/>
    <w:rsid w:val="6E6D5537"/>
    <w:rsid w:val="6E7304B3"/>
    <w:rsid w:val="6E7D48F4"/>
    <w:rsid w:val="6E86029D"/>
    <w:rsid w:val="6E9C16AF"/>
    <w:rsid w:val="6E9D390D"/>
    <w:rsid w:val="6EB70BFC"/>
    <w:rsid w:val="6EBC6825"/>
    <w:rsid w:val="6EC64CCC"/>
    <w:rsid w:val="6ECE6856"/>
    <w:rsid w:val="6ECF1E42"/>
    <w:rsid w:val="6ED6785C"/>
    <w:rsid w:val="6EE10B05"/>
    <w:rsid w:val="6EF047D8"/>
    <w:rsid w:val="6EFA4222"/>
    <w:rsid w:val="6EFF1A27"/>
    <w:rsid w:val="6F0472BB"/>
    <w:rsid w:val="6F0547B1"/>
    <w:rsid w:val="6F181253"/>
    <w:rsid w:val="6F18644A"/>
    <w:rsid w:val="6F206808"/>
    <w:rsid w:val="6F301732"/>
    <w:rsid w:val="6F3B291C"/>
    <w:rsid w:val="6F50561C"/>
    <w:rsid w:val="6F537CC8"/>
    <w:rsid w:val="6F5B3B07"/>
    <w:rsid w:val="6F5C04F3"/>
    <w:rsid w:val="6F6000F3"/>
    <w:rsid w:val="6F663551"/>
    <w:rsid w:val="6F6C1317"/>
    <w:rsid w:val="6F700748"/>
    <w:rsid w:val="6F734DE5"/>
    <w:rsid w:val="6F7A7501"/>
    <w:rsid w:val="6F7C0176"/>
    <w:rsid w:val="6F8634C4"/>
    <w:rsid w:val="6F8B5D0F"/>
    <w:rsid w:val="6F98017A"/>
    <w:rsid w:val="6FAB7D95"/>
    <w:rsid w:val="6FAD23B4"/>
    <w:rsid w:val="6FAD5E72"/>
    <w:rsid w:val="6FBD7D61"/>
    <w:rsid w:val="6FBE53DB"/>
    <w:rsid w:val="6FC154F6"/>
    <w:rsid w:val="6FC42EAB"/>
    <w:rsid w:val="6FC438EB"/>
    <w:rsid w:val="6FD101F3"/>
    <w:rsid w:val="6FD9000D"/>
    <w:rsid w:val="6FE54985"/>
    <w:rsid w:val="6FE63AA5"/>
    <w:rsid w:val="6FE74DA4"/>
    <w:rsid w:val="6FEC5771"/>
    <w:rsid w:val="6FEC7554"/>
    <w:rsid w:val="6FED2530"/>
    <w:rsid w:val="6FF1283A"/>
    <w:rsid w:val="6FF65844"/>
    <w:rsid w:val="70095D0E"/>
    <w:rsid w:val="700B23E9"/>
    <w:rsid w:val="70100167"/>
    <w:rsid w:val="70196ECC"/>
    <w:rsid w:val="702D331A"/>
    <w:rsid w:val="703C5B33"/>
    <w:rsid w:val="704E12D0"/>
    <w:rsid w:val="70563262"/>
    <w:rsid w:val="705873A3"/>
    <w:rsid w:val="705F66D6"/>
    <w:rsid w:val="70670B75"/>
    <w:rsid w:val="7071718D"/>
    <w:rsid w:val="707B1DA1"/>
    <w:rsid w:val="709910D5"/>
    <w:rsid w:val="70A84E00"/>
    <w:rsid w:val="70B30FF5"/>
    <w:rsid w:val="70B64551"/>
    <w:rsid w:val="70B64B15"/>
    <w:rsid w:val="70B70151"/>
    <w:rsid w:val="70B90980"/>
    <w:rsid w:val="70CE37DC"/>
    <w:rsid w:val="70D021EC"/>
    <w:rsid w:val="70D216D3"/>
    <w:rsid w:val="70D864B3"/>
    <w:rsid w:val="70DB6936"/>
    <w:rsid w:val="70DD65D9"/>
    <w:rsid w:val="70FA71EB"/>
    <w:rsid w:val="71185DA1"/>
    <w:rsid w:val="71534AAE"/>
    <w:rsid w:val="715948DA"/>
    <w:rsid w:val="71622CA5"/>
    <w:rsid w:val="716C54B9"/>
    <w:rsid w:val="716D157A"/>
    <w:rsid w:val="717A16B9"/>
    <w:rsid w:val="717C638C"/>
    <w:rsid w:val="717D793F"/>
    <w:rsid w:val="71804AF7"/>
    <w:rsid w:val="71844990"/>
    <w:rsid w:val="718616F7"/>
    <w:rsid w:val="718D2B11"/>
    <w:rsid w:val="71943B66"/>
    <w:rsid w:val="719B216D"/>
    <w:rsid w:val="71A86F83"/>
    <w:rsid w:val="71B46619"/>
    <w:rsid w:val="71B50108"/>
    <w:rsid w:val="71B752EE"/>
    <w:rsid w:val="71C66F16"/>
    <w:rsid w:val="71CF04C8"/>
    <w:rsid w:val="71DB12A7"/>
    <w:rsid w:val="71DF4EDF"/>
    <w:rsid w:val="71E619D1"/>
    <w:rsid w:val="72010916"/>
    <w:rsid w:val="72017C53"/>
    <w:rsid w:val="7205092B"/>
    <w:rsid w:val="72076DCF"/>
    <w:rsid w:val="720C0228"/>
    <w:rsid w:val="72104A8F"/>
    <w:rsid w:val="72106F1F"/>
    <w:rsid w:val="721708BC"/>
    <w:rsid w:val="722B3FA0"/>
    <w:rsid w:val="722D2A5F"/>
    <w:rsid w:val="722D57C7"/>
    <w:rsid w:val="724062B5"/>
    <w:rsid w:val="724309E9"/>
    <w:rsid w:val="7248108B"/>
    <w:rsid w:val="72491CAB"/>
    <w:rsid w:val="724A0704"/>
    <w:rsid w:val="724C22FA"/>
    <w:rsid w:val="724F4299"/>
    <w:rsid w:val="724F46F0"/>
    <w:rsid w:val="7255143F"/>
    <w:rsid w:val="726436E6"/>
    <w:rsid w:val="72700C83"/>
    <w:rsid w:val="727608D5"/>
    <w:rsid w:val="727A2B5F"/>
    <w:rsid w:val="727D051A"/>
    <w:rsid w:val="727E6483"/>
    <w:rsid w:val="728453D5"/>
    <w:rsid w:val="728B087B"/>
    <w:rsid w:val="72935827"/>
    <w:rsid w:val="72977F10"/>
    <w:rsid w:val="729B79DD"/>
    <w:rsid w:val="72A53147"/>
    <w:rsid w:val="72AA36AE"/>
    <w:rsid w:val="72BB1BA7"/>
    <w:rsid w:val="72D051AC"/>
    <w:rsid w:val="72D05F60"/>
    <w:rsid w:val="72D2308D"/>
    <w:rsid w:val="72D57898"/>
    <w:rsid w:val="72EA63C0"/>
    <w:rsid w:val="72ED426C"/>
    <w:rsid w:val="72F91A90"/>
    <w:rsid w:val="731C314C"/>
    <w:rsid w:val="73221787"/>
    <w:rsid w:val="732927A3"/>
    <w:rsid w:val="732B2982"/>
    <w:rsid w:val="733527D5"/>
    <w:rsid w:val="734333B2"/>
    <w:rsid w:val="73826B32"/>
    <w:rsid w:val="739D6139"/>
    <w:rsid w:val="73A34F4F"/>
    <w:rsid w:val="73B02110"/>
    <w:rsid w:val="73BB5331"/>
    <w:rsid w:val="73BD4470"/>
    <w:rsid w:val="73CB40BF"/>
    <w:rsid w:val="73CC250C"/>
    <w:rsid w:val="73CE0E30"/>
    <w:rsid w:val="73CE218C"/>
    <w:rsid w:val="73E133AB"/>
    <w:rsid w:val="73E47BB2"/>
    <w:rsid w:val="73F74664"/>
    <w:rsid w:val="73F95D4E"/>
    <w:rsid w:val="74044161"/>
    <w:rsid w:val="740D716A"/>
    <w:rsid w:val="74194164"/>
    <w:rsid w:val="741C0ACA"/>
    <w:rsid w:val="742D6B25"/>
    <w:rsid w:val="742F0F2B"/>
    <w:rsid w:val="74344471"/>
    <w:rsid w:val="743708F7"/>
    <w:rsid w:val="743C65CD"/>
    <w:rsid w:val="744446C4"/>
    <w:rsid w:val="74480B41"/>
    <w:rsid w:val="74524A6C"/>
    <w:rsid w:val="74544764"/>
    <w:rsid w:val="745C6B72"/>
    <w:rsid w:val="745D46B6"/>
    <w:rsid w:val="745D5E4D"/>
    <w:rsid w:val="745F6D5D"/>
    <w:rsid w:val="746229FF"/>
    <w:rsid w:val="74665E60"/>
    <w:rsid w:val="746C4E46"/>
    <w:rsid w:val="747D4D81"/>
    <w:rsid w:val="747E2170"/>
    <w:rsid w:val="74807D4D"/>
    <w:rsid w:val="74852FD5"/>
    <w:rsid w:val="74951F55"/>
    <w:rsid w:val="74994FF2"/>
    <w:rsid w:val="74A44507"/>
    <w:rsid w:val="74A93ADB"/>
    <w:rsid w:val="74AB764B"/>
    <w:rsid w:val="74B54B4A"/>
    <w:rsid w:val="74BA0C6B"/>
    <w:rsid w:val="74BA308E"/>
    <w:rsid w:val="74BB501E"/>
    <w:rsid w:val="74BE575C"/>
    <w:rsid w:val="74C62534"/>
    <w:rsid w:val="74E23685"/>
    <w:rsid w:val="74EA0574"/>
    <w:rsid w:val="74EE31EA"/>
    <w:rsid w:val="74F227D5"/>
    <w:rsid w:val="74F479DA"/>
    <w:rsid w:val="74FA2880"/>
    <w:rsid w:val="750E421E"/>
    <w:rsid w:val="75100B8F"/>
    <w:rsid w:val="75122761"/>
    <w:rsid w:val="75180EA9"/>
    <w:rsid w:val="75224C45"/>
    <w:rsid w:val="75225CBF"/>
    <w:rsid w:val="75350693"/>
    <w:rsid w:val="75372EB1"/>
    <w:rsid w:val="75443F5E"/>
    <w:rsid w:val="75460C0C"/>
    <w:rsid w:val="7546677D"/>
    <w:rsid w:val="754B2AC0"/>
    <w:rsid w:val="754D466C"/>
    <w:rsid w:val="754F4CC4"/>
    <w:rsid w:val="755968DB"/>
    <w:rsid w:val="756E0B0A"/>
    <w:rsid w:val="756E1FF6"/>
    <w:rsid w:val="757031D9"/>
    <w:rsid w:val="757E6624"/>
    <w:rsid w:val="758075D4"/>
    <w:rsid w:val="75814167"/>
    <w:rsid w:val="75842DFC"/>
    <w:rsid w:val="75844CB2"/>
    <w:rsid w:val="75907C96"/>
    <w:rsid w:val="759B7AB5"/>
    <w:rsid w:val="75A2067A"/>
    <w:rsid w:val="75A51D92"/>
    <w:rsid w:val="75A667A1"/>
    <w:rsid w:val="75B545AA"/>
    <w:rsid w:val="75B940C4"/>
    <w:rsid w:val="75B9416A"/>
    <w:rsid w:val="75BE0722"/>
    <w:rsid w:val="75C247F2"/>
    <w:rsid w:val="75CD7BB5"/>
    <w:rsid w:val="75DB5451"/>
    <w:rsid w:val="75E37678"/>
    <w:rsid w:val="75E9665D"/>
    <w:rsid w:val="75F33081"/>
    <w:rsid w:val="75F43D62"/>
    <w:rsid w:val="75F60897"/>
    <w:rsid w:val="75F87197"/>
    <w:rsid w:val="760C1D60"/>
    <w:rsid w:val="760E5F05"/>
    <w:rsid w:val="762E28FD"/>
    <w:rsid w:val="76437D02"/>
    <w:rsid w:val="765120A6"/>
    <w:rsid w:val="765500F3"/>
    <w:rsid w:val="766146C3"/>
    <w:rsid w:val="76634AEC"/>
    <w:rsid w:val="766530C9"/>
    <w:rsid w:val="766E17DB"/>
    <w:rsid w:val="76724739"/>
    <w:rsid w:val="767F05D4"/>
    <w:rsid w:val="76894CC3"/>
    <w:rsid w:val="768A5887"/>
    <w:rsid w:val="769245DD"/>
    <w:rsid w:val="76942C42"/>
    <w:rsid w:val="769C48A8"/>
    <w:rsid w:val="76A9033B"/>
    <w:rsid w:val="76B2227E"/>
    <w:rsid w:val="76BA05D5"/>
    <w:rsid w:val="76BF7D3D"/>
    <w:rsid w:val="76C52AEB"/>
    <w:rsid w:val="76CA40F3"/>
    <w:rsid w:val="76D264D4"/>
    <w:rsid w:val="76D36F81"/>
    <w:rsid w:val="76D917F6"/>
    <w:rsid w:val="76E54C34"/>
    <w:rsid w:val="76E955C3"/>
    <w:rsid w:val="76F8393D"/>
    <w:rsid w:val="76FA22C3"/>
    <w:rsid w:val="76FA75DB"/>
    <w:rsid w:val="76FD43AC"/>
    <w:rsid w:val="770706D4"/>
    <w:rsid w:val="77123ACC"/>
    <w:rsid w:val="771774C5"/>
    <w:rsid w:val="77225399"/>
    <w:rsid w:val="77247924"/>
    <w:rsid w:val="772B1B20"/>
    <w:rsid w:val="774554AD"/>
    <w:rsid w:val="77476B1B"/>
    <w:rsid w:val="774B6692"/>
    <w:rsid w:val="77510935"/>
    <w:rsid w:val="775F676C"/>
    <w:rsid w:val="77601CBF"/>
    <w:rsid w:val="77634F3B"/>
    <w:rsid w:val="777F4D67"/>
    <w:rsid w:val="77821A9D"/>
    <w:rsid w:val="77850D38"/>
    <w:rsid w:val="77910638"/>
    <w:rsid w:val="77926E10"/>
    <w:rsid w:val="779B3146"/>
    <w:rsid w:val="77A117D6"/>
    <w:rsid w:val="77A26354"/>
    <w:rsid w:val="77B265EF"/>
    <w:rsid w:val="77BF3850"/>
    <w:rsid w:val="77CD3540"/>
    <w:rsid w:val="77CE14EF"/>
    <w:rsid w:val="77CE269B"/>
    <w:rsid w:val="77D36332"/>
    <w:rsid w:val="77D62A56"/>
    <w:rsid w:val="77D96CFA"/>
    <w:rsid w:val="77E62733"/>
    <w:rsid w:val="77EA060C"/>
    <w:rsid w:val="77F84B71"/>
    <w:rsid w:val="77FE53E9"/>
    <w:rsid w:val="78011BF1"/>
    <w:rsid w:val="780E1955"/>
    <w:rsid w:val="78293DC3"/>
    <w:rsid w:val="782D2D9B"/>
    <w:rsid w:val="782F143B"/>
    <w:rsid w:val="782F7B31"/>
    <w:rsid w:val="783720CB"/>
    <w:rsid w:val="78380568"/>
    <w:rsid w:val="783A6B2F"/>
    <w:rsid w:val="783F4F70"/>
    <w:rsid w:val="784514CF"/>
    <w:rsid w:val="78466E62"/>
    <w:rsid w:val="785712FB"/>
    <w:rsid w:val="785B4C20"/>
    <w:rsid w:val="785D218D"/>
    <w:rsid w:val="78630991"/>
    <w:rsid w:val="78704423"/>
    <w:rsid w:val="787E4A3E"/>
    <w:rsid w:val="78903BC9"/>
    <w:rsid w:val="78912980"/>
    <w:rsid w:val="7893195B"/>
    <w:rsid w:val="78965720"/>
    <w:rsid w:val="78AB4E34"/>
    <w:rsid w:val="78B8567C"/>
    <w:rsid w:val="78D62FC2"/>
    <w:rsid w:val="78D7094F"/>
    <w:rsid w:val="78D928D7"/>
    <w:rsid w:val="78E8667F"/>
    <w:rsid w:val="78E93563"/>
    <w:rsid w:val="78EF1738"/>
    <w:rsid w:val="78F7615B"/>
    <w:rsid w:val="78FD2962"/>
    <w:rsid w:val="7907155B"/>
    <w:rsid w:val="792063BD"/>
    <w:rsid w:val="79240A4F"/>
    <w:rsid w:val="792924D9"/>
    <w:rsid w:val="79307089"/>
    <w:rsid w:val="79373219"/>
    <w:rsid w:val="793763EA"/>
    <w:rsid w:val="793A761F"/>
    <w:rsid w:val="793D367B"/>
    <w:rsid w:val="793F707A"/>
    <w:rsid w:val="79421D81"/>
    <w:rsid w:val="79432895"/>
    <w:rsid w:val="794625CC"/>
    <w:rsid w:val="794A4288"/>
    <w:rsid w:val="794C7980"/>
    <w:rsid w:val="7954036F"/>
    <w:rsid w:val="795F14E6"/>
    <w:rsid w:val="7963139E"/>
    <w:rsid w:val="798B23A6"/>
    <w:rsid w:val="798D1378"/>
    <w:rsid w:val="79912CAC"/>
    <w:rsid w:val="79934622"/>
    <w:rsid w:val="799C5748"/>
    <w:rsid w:val="79A10018"/>
    <w:rsid w:val="79A86542"/>
    <w:rsid w:val="79AA6729"/>
    <w:rsid w:val="79AF7ABE"/>
    <w:rsid w:val="79BD180A"/>
    <w:rsid w:val="79BE5E62"/>
    <w:rsid w:val="79BF1360"/>
    <w:rsid w:val="79C31852"/>
    <w:rsid w:val="79D00261"/>
    <w:rsid w:val="79D72059"/>
    <w:rsid w:val="79E179F6"/>
    <w:rsid w:val="79E92F86"/>
    <w:rsid w:val="79E9620E"/>
    <w:rsid w:val="79EA7513"/>
    <w:rsid w:val="79EC33C3"/>
    <w:rsid w:val="79EC4C14"/>
    <w:rsid w:val="79F03B57"/>
    <w:rsid w:val="7A0C2F4B"/>
    <w:rsid w:val="7A1B540B"/>
    <w:rsid w:val="7A1C1793"/>
    <w:rsid w:val="7A1C4DC7"/>
    <w:rsid w:val="7A2B7F7C"/>
    <w:rsid w:val="7A34668D"/>
    <w:rsid w:val="7A3A078E"/>
    <w:rsid w:val="7A45124E"/>
    <w:rsid w:val="7A4665A8"/>
    <w:rsid w:val="7A4778AC"/>
    <w:rsid w:val="7A4C7BCA"/>
    <w:rsid w:val="7A527CB8"/>
    <w:rsid w:val="7A646BED"/>
    <w:rsid w:val="7A7F0907"/>
    <w:rsid w:val="7A7F307F"/>
    <w:rsid w:val="7A850292"/>
    <w:rsid w:val="7A864059"/>
    <w:rsid w:val="7A991285"/>
    <w:rsid w:val="7A9D151C"/>
    <w:rsid w:val="7AA26CC1"/>
    <w:rsid w:val="7AA36941"/>
    <w:rsid w:val="7AA443C3"/>
    <w:rsid w:val="7AAC03BC"/>
    <w:rsid w:val="7AAE2A2E"/>
    <w:rsid w:val="7AB2157C"/>
    <w:rsid w:val="7AB5655C"/>
    <w:rsid w:val="7ABF07F0"/>
    <w:rsid w:val="7AC179AB"/>
    <w:rsid w:val="7AC357D7"/>
    <w:rsid w:val="7AC528C4"/>
    <w:rsid w:val="7ACE4545"/>
    <w:rsid w:val="7AD103AF"/>
    <w:rsid w:val="7AD631B4"/>
    <w:rsid w:val="7AE80992"/>
    <w:rsid w:val="7AE9752E"/>
    <w:rsid w:val="7AEC1055"/>
    <w:rsid w:val="7AF51135"/>
    <w:rsid w:val="7AF60178"/>
    <w:rsid w:val="7AFE078F"/>
    <w:rsid w:val="7B016CDB"/>
    <w:rsid w:val="7B02475C"/>
    <w:rsid w:val="7B025D7E"/>
    <w:rsid w:val="7B0320BB"/>
    <w:rsid w:val="7B0E4101"/>
    <w:rsid w:val="7B192CA1"/>
    <w:rsid w:val="7B1E43DB"/>
    <w:rsid w:val="7B1E76B6"/>
    <w:rsid w:val="7B213578"/>
    <w:rsid w:val="7B3D12FD"/>
    <w:rsid w:val="7B4318EB"/>
    <w:rsid w:val="7B4D1359"/>
    <w:rsid w:val="7B4E742F"/>
    <w:rsid w:val="7B5204F9"/>
    <w:rsid w:val="7B5257E0"/>
    <w:rsid w:val="7B5876EA"/>
    <w:rsid w:val="7B623397"/>
    <w:rsid w:val="7B6E2838"/>
    <w:rsid w:val="7B6E3852"/>
    <w:rsid w:val="7B723B17"/>
    <w:rsid w:val="7B745405"/>
    <w:rsid w:val="7B8713FA"/>
    <w:rsid w:val="7B907FDF"/>
    <w:rsid w:val="7B9207C8"/>
    <w:rsid w:val="7B9704D3"/>
    <w:rsid w:val="7BA1555F"/>
    <w:rsid w:val="7BA51C14"/>
    <w:rsid w:val="7BAD4BF5"/>
    <w:rsid w:val="7BBB2949"/>
    <w:rsid w:val="7BC71022"/>
    <w:rsid w:val="7BC8745E"/>
    <w:rsid w:val="7BCD7043"/>
    <w:rsid w:val="7BD44AB5"/>
    <w:rsid w:val="7BD75A39"/>
    <w:rsid w:val="7BDA2B39"/>
    <w:rsid w:val="7BE65320"/>
    <w:rsid w:val="7BFD2FC3"/>
    <w:rsid w:val="7C001068"/>
    <w:rsid w:val="7C2118A6"/>
    <w:rsid w:val="7C222636"/>
    <w:rsid w:val="7C274E7E"/>
    <w:rsid w:val="7C280E42"/>
    <w:rsid w:val="7C4405EC"/>
    <w:rsid w:val="7C4902F7"/>
    <w:rsid w:val="7C4E2200"/>
    <w:rsid w:val="7C520C06"/>
    <w:rsid w:val="7C5E225A"/>
    <w:rsid w:val="7C7855C3"/>
    <w:rsid w:val="7C7B2E38"/>
    <w:rsid w:val="7C7F4F3C"/>
    <w:rsid w:val="7C931E15"/>
    <w:rsid w:val="7C9C55B4"/>
    <w:rsid w:val="7C9F5482"/>
    <w:rsid w:val="7CA544A2"/>
    <w:rsid w:val="7CAA541E"/>
    <w:rsid w:val="7CB347D7"/>
    <w:rsid w:val="7CB70CBA"/>
    <w:rsid w:val="7CB83E2E"/>
    <w:rsid w:val="7CBC25C4"/>
    <w:rsid w:val="7CC72DC3"/>
    <w:rsid w:val="7CCD67D7"/>
    <w:rsid w:val="7CD4481A"/>
    <w:rsid w:val="7CD939A2"/>
    <w:rsid w:val="7CE21673"/>
    <w:rsid w:val="7CE2570E"/>
    <w:rsid w:val="7CEE0A85"/>
    <w:rsid w:val="7CEE13C1"/>
    <w:rsid w:val="7CF45745"/>
    <w:rsid w:val="7CFC5143"/>
    <w:rsid w:val="7D002024"/>
    <w:rsid w:val="7D0351A7"/>
    <w:rsid w:val="7D0920E2"/>
    <w:rsid w:val="7D1665FE"/>
    <w:rsid w:val="7D1B284D"/>
    <w:rsid w:val="7D1C5D42"/>
    <w:rsid w:val="7D34019B"/>
    <w:rsid w:val="7D3C4DB4"/>
    <w:rsid w:val="7D4033FD"/>
    <w:rsid w:val="7D4633F9"/>
    <w:rsid w:val="7D4D5856"/>
    <w:rsid w:val="7D537A55"/>
    <w:rsid w:val="7D6B18A4"/>
    <w:rsid w:val="7D737A9C"/>
    <w:rsid w:val="7D8E7309"/>
    <w:rsid w:val="7D923E44"/>
    <w:rsid w:val="7D941212"/>
    <w:rsid w:val="7DAA16F6"/>
    <w:rsid w:val="7DBE014A"/>
    <w:rsid w:val="7DBE36DC"/>
    <w:rsid w:val="7DCF5B74"/>
    <w:rsid w:val="7DE14EF9"/>
    <w:rsid w:val="7DE779C7"/>
    <w:rsid w:val="7DF16A19"/>
    <w:rsid w:val="7DF83689"/>
    <w:rsid w:val="7E183EEA"/>
    <w:rsid w:val="7E18635A"/>
    <w:rsid w:val="7E18651E"/>
    <w:rsid w:val="7E194EBD"/>
    <w:rsid w:val="7E3F2260"/>
    <w:rsid w:val="7E430A62"/>
    <w:rsid w:val="7E432689"/>
    <w:rsid w:val="7E433C86"/>
    <w:rsid w:val="7E440B2B"/>
    <w:rsid w:val="7E4A22B2"/>
    <w:rsid w:val="7E4D6442"/>
    <w:rsid w:val="7E4E7747"/>
    <w:rsid w:val="7E4F61B6"/>
    <w:rsid w:val="7E526150"/>
    <w:rsid w:val="7E6752B6"/>
    <w:rsid w:val="7E6E691A"/>
    <w:rsid w:val="7E717A7B"/>
    <w:rsid w:val="7E753C6C"/>
    <w:rsid w:val="7E784D07"/>
    <w:rsid w:val="7E80292D"/>
    <w:rsid w:val="7E84382C"/>
    <w:rsid w:val="7E855AE7"/>
    <w:rsid w:val="7E9D718F"/>
    <w:rsid w:val="7EA7411B"/>
    <w:rsid w:val="7EA874D5"/>
    <w:rsid w:val="7EAA0221"/>
    <w:rsid w:val="7EB02A3C"/>
    <w:rsid w:val="7EB714C1"/>
    <w:rsid w:val="7EBF0D00"/>
    <w:rsid w:val="7EC1483F"/>
    <w:rsid w:val="7ECE1934"/>
    <w:rsid w:val="7ED326C7"/>
    <w:rsid w:val="7EED3DCE"/>
    <w:rsid w:val="7F0A6F2E"/>
    <w:rsid w:val="7F207662"/>
    <w:rsid w:val="7F21551C"/>
    <w:rsid w:val="7F2464A6"/>
    <w:rsid w:val="7F251450"/>
    <w:rsid w:val="7F381A47"/>
    <w:rsid w:val="7F3932D6"/>
    <w:rsid w:val="7F3A5C16"/>
    <w:rsid w:val="7F3B3199"/>
    <w:rsid w:val="7F3D07F6"/>
    <w:rsid w:val="7F4334D7"/>
    <w:rsid w:val="7F4D23DA"/>
    <w:rsid w:val="7F533772"/>
    <w:rsid w:val="7F59567B"/>
    <w:rsid w:val="7F5F2E08"/>
    <w:rsid w:val="7F613C7E"/>
    <w:rsid w:val="7F6A2D63"/>
    <w:rsid w:val="7F6C60C6"/>
    <w:rsid w:val="7F7D7E39"/>
    <w:rsid w:val="7F827F3A"/>
    <w:rsid w:val="7F912BF1"/>
    <w:rsid w:val="7F9E1932"/>
    <w:rsid w:val="7F9F256C"/>
    <w:rsid w:val="7FA4150B"/>
    <w:rsid w:val="7FA61A8E"/>
    <w:rsid w:val="7FA870B3"/>
    <w:rsid w:val="7FAB4AF0"/>
    <w:rsid w:val="7FB56D30"/>
    <w:rsid w:val="7FB576DF"/>
    <w:rsid w:val="7FC0250D"/>
    <w:rsid w:val="7FC35A90"/>
    <w:rsid w:val="7FCC65E5"/>
    <w:rsid w:val="7FCC7BB8"/>
    <w:rsid w:val="7FD60A7C"/>
    <w:rsid w:val="7FED79B9"/>
    <w:rsid w:val="7FF033B0"/>
    <w:rsid w:val="7FF326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1"/>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caption"/>
    <w:basedOn w:val="1"/>
    <w:next w:val="1"/>
    <w:unhideWhenUsed/>
    <w:qFormat/>
    <w:uiPriority w:val="35"/>
    <w:pPr>
      <w:spacing w:after="200"/>
      <w:jc w:val="center"/>
    </w:pPr>
    <w:rPr>
      <w:rFonts w:ascii="Arial" w:hAnsi="Arial"/>
      <w:i/>
      <w:iCs/>
      <w:sz w:val="18"/>
      <w:szCs w:val="18"/>
    </w:rPr>
  </w:style>
  <w:style w:type="paragraph" w:styleId="23">
    <w:name w:val="annotation text"/>
    <w:basedOn w:val="1"/>
    <w:qFormat/>
    <w:uiPriority w:val="0"/>
  </w:style>
  <w:style w:type="paragraph" w:styleId="24">
    <w:name w:val="Body Text"/>
    <w:basedOn w:val="1"/>
    <w:qFormat/>
    <w:uiPriority w:val="0"/>
    <w:pPr>
      <w:spacing w:after="120"/>
      <w:jc w:val="both"/>
    </w:pPr>
    <w:rPr>
      <w:rFonts w:eastAsia="MS Mincho"/>
    </w:rPr>
  </w:style>
  <w:style w:type="paragraph" w:styleId="25">
    <w:name w:val="toc 8"/>
    <w:basedOn w:val="21"/>
    <w:next w:val="1"/>
    <w:qFormat/>
    <w:uiPriority w:val="39"/>
    <w:pPr>
      <w:spacing w:before="180"/>
      <w:ind w:left="2693" w:hanging="2693"/>
    </w:pPr>
    <w:rPr>
      <w:b/>
    </w:rPr>
  </w:style>
  <w:style w:type="paragraph" w:styleId="26">
    <w:name w:val="Balloon Text"/>
    <w:basedOn w:val="1"/>
    <w:link w:val="72"/>
    <w:qFormat/>
    <w:uiPriority w:val="0"/>
    <w:pPr>
      <w:spacing w:after="0"/>
    </w:pPr>
    <w:rPr>
      <w:rFonts w:ascii="Segoe UI" w:hAnsi="Segoe UI" w:cs="Segoe UI"/>
      <w:sz w:val="18"/>
      <w:szCs w:val="18"/>
    </w:rPr>
  </w:style>
  <w:style w:type="paragraph" w:styleId="27">
    <w:name w:val="footer"/>
    <w:basedOn w:val="1"/>
    <w:qFormat/>
    <w:uiPriority w:val="0"/>
    <w:pPr>
      <w:jc w:val="center"/>
    </w:pPr>
    <w:rPr>
      <w:i/>
    </w:rPr>
  </w:style>
  <w:style w:type="paragraph" w:styleId="28">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9">
    <w:name w:val="toc 9"/>
    <w:basedOn w:val="25"/>
    <w:next w:val="1"/>
    <w:qFormat/>
    <w:uiPriority w:val="39"/>
    <w:pPr>
      <w:ind w:left="1418" w:hanging="1418"/>
    </w:pPr>
  </w:style>
  <w:style w:type="paragraph" w:styleId="30">
    <w:name w:val="List 4"/>
    <w:basedOn w:val="12"/>
    <w:qFormat/>
    <w:uiPriority w:val="0"/>
    <w:pPr>
      <w:ind w:left="1418"/>
    </w:p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page number"/>
    <w:basedOn w:val="33"/>
    <w:semiHidden/>
    <w:qFormat/>
    <w:uiPriority w:val="0"/>
  </w:style>
  <w:style w:type="character" w:styleId="35">
    <w:name w:val="FollowedHyperlink"/>
    <w:basedOn w:val="33"/>
    <w:qFormat/>
    <w:uiPriority w:val="0"/>
    <w:rPr>
      <w:color w:val="954F72" w:themeColor="followedHyperlink"/>
      <w:u w:val="single"/>
      <w14:textFill>
        <w14:solidFill>
          <w14:schemeClr w14:val="folHlink"/>
        </w14:solidFill>
      </w14:textFill>
    </w:rPr>
  </w:style>
  <w:style w:type="character" w:styleId="36">
    <w:name w:val="Hyperlink"/>
    <w:basedOn w:val="33"/>
    <w:qFormat/>
    <w:uiPriority w:val="0"/>
    <w:rPr>
      <w:color w:val="0563C1" w:themeColor="hyperlink"/>
      <w:u w:val="single"/>
      <w14:textFill>
        <w14:solidFill>
          <w14:schemeClr w14:val="hlink"/>
        </w14:solidFill>
      </w14:textFill>
    </w:rPr>
  </w:style>
  <w:style w:type="paragraph" w:customStyle="1" w:styleId="37">
    <w:name w:val="EQ"/>
    <w:basedOn w:val="1"/>
    <w:next w:val="1"/>
    <w:qFormat/>
    <w:uiPriority w:val="0"/>
    <w:pPr>
      <w:keepLines/>
      <w:tabs>
        <w:tab w:val="center" w:pos="4536"/>
        <w:tab w:val="right" w:pos="9072"/>
      </w:tabs>
    </w:pPr>
  </w:style>
  <w:style w:type="character" w:customStyle="1" w:styleId="38">
    <w:name w:val="ZGSM"/>
    <w:qFormat/>
    <w:uiPriority w:val="0"/>
  </w:style>
  <w:style w:type="paragraph" w:customStyle="1" w:styleId="3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40">
    <w:name w:val="TT"/>
    <w:basedOn w:val="2"/>
    <w:next w:val="1"/>
    <w:qFormat/>
    <w:uiPriority w:val="0"/>
    <w:pPr>
      <w:outlineLvl w:val="9"/>
    </w:pPr>
  </w:style>
  <w:style w:type="paragraph" w:customStyle="1" w:styleId="41">
    <w:name w:val="NF"/>
    <w:basedOn w:val="42"/>
    <w:qFormat/>
    <w:uiPriority w:val="0"/>
    <w:pPr>
      <w:keepNext/>
      <w:spacing w:after="0"/>
    </w:pPr>
    <w:rPr>
      <w:rFonts w:ascii="Arial" w:hAnsi="Arial"/>
      <w:sz w:val="18"/>
    </w:rPr>
  </w:style>
  <w:style w:type="paragraph" w:customStyle="1" w:styleId="42">
    <w:name w:val="NO"/>
    <w:basedOn w:val="1"/>
    <w:qFormat/>
    <w:uiPriority w:val="0"/>
    <w:pPr>
      <w:keepLines/>
      <w:ind w:left="1135" w:hanging="851"/>
    </w:pPr>
  </w:style>
  <w:style w:type="paragraph" w:customStyle="1" w:styleId="4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4">
    <w:name w:val="TAR"/>
    <w:basedOn w:val="45"/>
    <w:qFormat/>
    <w:uiPriority w:val="0"/>
    <w:pPr>
      <w:jc w:val="right"/>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TAH"/>
    <w:basedOn w:val="47"/>
    <w:qFormat/>
    <w:uiPriority w:val="0"/>
    <w:rPr>
      <w:b/>
    </w:rPr>
  </w:style>
  <w:style w:type="paragraph" w:customStyle="1" w:styleId="47">
    <w:name w:val="TAC"/>
    <w:basedOn w:val="45"/>
    <w:qFormat/>
    <w:uiPriority w:val="0"/>
    <w:pPr>
      <w:jc w:val="center"/>
    </w:pPr>
  </w:style>
  <w:style w:type="paragraph" w:customStyle="1" w:styleId="4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9">
    <w:name w:val="EX"/>
    <w:basedOn w:val="1"/>
    <w:qFormat/>
    <w:uiPriority w:val="0"/>
    <w:pPr>
      <w:keepLines/>
      <w:ind w:left="1702" w:hanging="1418"/>
    </w:pPr>
  </w:style>
  <w:style w:type="paragraph" w:customStyle="1" w:styleId="50">
    <w:name w:val="FP"/>
    <w:basedOn w:val="1"/>
    <w:qFormat/>
    <w:uiPriority w:val="0"/>
    <w:pPr>
      <w:spacing w:after="0"/>
    </w:pPr>
  </w:style>
  <w:style w:type="paragraph" w:customStyle="1" w:styleId="51">
    <w:name w:val="NW"/>
    <w:basedOn w:val="42"/>
    <w:qFormat/>
    <w:uiPriority w:val="0"/>
    <w:pPr>
      <w:spacing w:after="0"/>
    </w:pPr>
  </w:style>
  <w:style w:type="paragraph" w:customStyle="1" w:styleId="52">
    <w:name w:val="EW"/>
    <w:basedOn w:val="49"/>
    <w:qFormat/>
    <w:uiPriority w:val="0"/>
    <w:pPr>
      <w:spacing w:after="0"/>
    </w:pPr>
  </w:style>
  <w:style w:type="paragraph" w:customStyle="1" w:styleId="53">
    <w:name w:val="B1"/>
    <w:basedOn w:val="14"/>
    <w:qFormat/>
    <w:uiPriority w:val="0"/>
  </w:style>
  <w:style w:type="paragraph" w:customStyle="1" w:styleId="54">
    <w:name w:val="Editor's Note"/>
    <w:basedOn w:val="42"/>
    <w:qFormat/>
    <w:uiPriority w:val="0"/>
    <w:rPr>
      <w:color w:val="FF0000"/>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0">
    <w:name w:val="TAN"/>
    <w:basedOn w:val="45"/>
    <w:qFormat/>
    <w:uiPriority w:val="0"/>
    <w:pPr>
      <w:ind w:left="851" w:hanging="851"/>
    </w:pPr>
  </w:style>
  <w:style w:type="paragraph" w:customStyle="1" w:styleId="6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2">
    <w:name w:val="TF"/>
    <w:basedOn w:val="55"/>
    <w:qFormat/>
    <w:uiPriority w:val="0"/>
    <w:pPr>
      <w:keepNext w:val="0"/>
      <w:spacing w:before="0" w:after="240"/>
    </w:pPr>
  </w:style>
  <w:style w:type="paragraph" w:customStyle="1" w:styleId="6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4">
    <w:name w:val="B2"/>
    <w:basedOn w:val="13"/>
    <w:qFormat/>
    <w:uiPriority w:val="0"/>
  </w:style>
  <w:style w:type="paragraph" w:customStyle="1" w:styleId="65">
    <w:name w:val="B3"/>
    <w:basedOn w:val="12"/>
    <w:qFormat/>
    <w:uiPriority w:val="0"/>
    <w:pPr>
      <w:ind w:left="1135" w:hanging="284"/>
    </w:pPr>
  </w:style>
  <w:style w:type="paragraph" w:customStyle="1" w:styleId="66">
    <w:name w:val="B4"/>
    <w:basedOn w:val="30"/>
    <w:qFormat/>
    <w:uiPriority w:val="0"/>
    <w:pPr>
      <w:ind w:left="1418" w:hanging="284"/>
    </w:pPr>
  </w:style>
  <w:style w:type="paragraph" w:customStyle="1" w:styleId="67">
    <w:name w:val="B5"/>
    <w:basedOn w:val="1"/>
    <w:qFormat/>
    <w:uiPriority w:val="0"/>
    <w:pPr>
      <w:ind w:left="1702" w:hanging="284"/>
    </w:pPr>
  </w:style>
  <w:style w:type="paragraph" w:customStyle="1" w:styleId="68">
    <w:name w:val="ZTD"/>
    <w:basedOn w:val="57"/>
    <w:qFormat/>
    <w:uiPriority w:val="0"/>
    <w:pPr>
      <w:framePr w:hRule="auto" w:y="852"/>
    </w:pPr>
    <w:rPr>
      <w:i w:val="0"/>
      <w:sz w:val="40"/>
    </w:rPr>
  </w:style>
  <w:style w:type="paragraph" w:customStyle="1" w:styleId="69">
    <w:name w:val="ZV"/>
    <w:basedOn w:val="59"/>
    <w:qFormat/>
    <w:uiPriority w:val="0"/>
    <w:pPr>
      <w:framePr w:y="16161"/>
    </w:pPr>
  </w:style>
  <w:style w:type="paragraph" w:customStyle="1" w:styleId="70">
    <w:name w:val="TAJ"/>
    <w:basedOn w:val="55"/>
    <w:qFormat/>
    <w:uiPriority w:val="0"/>
  </w:style>
  <w:style w:type="paragraph" w:customStyle="1" w:styleId="71">
    <w:name w:val="Guidance"/>
    <w:basedOn w:val="1"/>
    <w:qFormat/>
    <w:uiPriority w:val="0"/>
    <w:rPr>
      <w:i/>
      <w:color w:val="0000FF"/>
    </w:rPr>
  </w:style>
  <w:style w:type="character" w:customStyle="1" w:styleId="72">
    <w:name w:val="批注框文本 字符"/>
    <w:link w:val="26"/>
    <w:qFormat/>
    <w:uiPriority w:val="0"/>
    <w:rPr>
      <w:rFonts w:ascii="Segoe UI" w:hAnsi="Segoe UI" w:cs="Segoe UI"/>
      <w:sz w:val="18"/>
      <w:szCs w:val="18"/>
      <w:lang w:eastAsia="en-US"/>
    </w:rPr>
  </w:style>
  <w:style w:type="character" w:customStyle="1" w:styleId="73">
    <w:name w:val="Unresolved Mention"/>
    <w:basedOn w:val="33"/>
    <w:semiHidden/>
    <w:unhideWhenUsed/>
    <w:qFormat/>
    <w:uiPriority w:val="99"/>
    <w:rPr>
      <w:color w:val="605E5C"/>
      <w:shd w:val="clear" w:color="auto" w:fill="E1DFDD"/>
    </w:rPr>
  </w:style>
  <w:style w:type="paragraph" w:styleId="74">
    <w:name w:val="List Paragraph"/>
    <w:basedOn w:val="1"/>
    <w:link w:val="75"/>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5">
    <w:name w:val="列出段落 字符"/>
    <w:link w:val="74"/>
    <w:qFormat/>
    <w:locked/>
    <w:uiPriority w:val="34"/>
    <w:rPr>
      <w:rFonts w:asciiTheme="minorHAnsi" w:hAnsiTheme="minorHAnsi" w:eastAsiaTheme="minorHAnsi" w:cstheme="minorBidi"/>
      <w:sz w:val="22"/>
      <w:szCs w:val="22"/>
      <w:lang w:val="sv-SE" w:eastAsia="en-US"/>
    </w:rPr>
  </w:style>
  <w:style w:type="paragraph" w:customStyle="1" w:styleId="76">
    <w:name w:val="CR Cover Page"/>
    <w:link w:val="77"/>
    <w:qFormat/>
    <w:uiPriority w:val="0"/>
    <w:pPr>
      <w:spacing w:after="120"/>
    </w:pPr>
    <w:rPr>
      <w:rFonts w:ascii="Arial" w:hAnsi="Arial" w:eastAsia="Times New Roman" w:cs="Times New Roman"/>
      <w:lang w:val="en-GB" w:eastAsia="en-US" w:bidi="ar-SA"/>
    </w:rPr>
  </w:style>
  <w:style w:type="character" w:customStyle="1" w:styleId="77">
    <w:name w:val="CR Cover Page Char"/>
    <w:link w:val="76"/>
    <w:qFormat/>
    <w:uiPriority w:val="0"/>
    <w:rPr>
      <w:rFonts w:ascii="Arial" w:hAnsi="Arial"/>
      <w:lang w:eastAsia="en-US"/>
    </w:rPr>
  </w:style>
  <w:style w:type="paragraph" w:customStyle="1" w:styleId="78">
    <w:name w:val="RAN4 H1"/>
    <w:basedOn w:val="1"/>
    <w:next w:val="1"/>
    <w:link w:val="79"/>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9">
    <w:name w:val="RAN4 H1 Char"/>
    <w:basedOn w:val="33"/>
    <w:link w:val="78"/>
    <w:qFormat/>
    <w:uiPriority w:val="0"/>
    <w:rPr>
      <w:rFonts w:ascii="Arial" w:hAnsi="Arial" w:eastAsia="宋体" w:cs="Times New Roman"/>
      <w:sz w:val="36"/>
      <w:szCs w:val="20"/>
      <w:lang w:val="en-GB"/>
    </w:rPr>
  </w:style>
  <w:style w:type="paragraph" w:customStyle="1" w:styleId="80">
    <w:name w:val="RAN4 H2"/>
    <w:basedOn w:val="3"/>
    <w:next w:val="1"/>
    <w:qFormat/>
    <w:uiPriority w:val="0"/>
    <w:pPr>
      <w:numPr>
        <w:ilvl w:val="1"/>
        <w:numId w:val="1"/>
      </w:numPr>
      <w:ind w:left="431" w:hanging="431"/>
    </w:pPr>
    <w:rPr>
      <w:lang w:val="en-US"/>
    </w:rPr>
  </w:style>
  <w:style w:type="paragraph" w:customStyle="1" w:styleId="81">
    <w:name w:val="RAN4 proposal"/>
    <w:basedOn w:val="22"/>
    <w:next w:val="1"/>
    <w:qFormat/>
    <w:uiPriority w:val="0"/>
    <w:pPr>
      <w:numPr>
        <w:ilvl w:val="0"/>
        <w:numId w:val="2"/>
      </w:numPr>
      <w:ind w:left="0" w:firstLine="0"/>
      <w:jc w:val="left"/>
    </w:pPr>
    <w:rPr>
      <w:rFonts w:ascii="Times New Roman" w:hAnsi="Times New Roman"/>
      <w:b/>
      <w:i w:val="0"/>
      <w:sz w:val="20"/>
    </w:rPr>
  </w:style>
  <w:style w:type="paragraph" w:customStyle="1" w:styleId="82">
    <w:name w:val="Reference"/>
    <w:basedOn w:val="1"/>
    <w:qFormat/>
    <w:uiPriority w:val="0"/>
    <w:pPr>
      <w:spacing w:after="0"/>
      <w:ind w:left="567" w:hanging="283"/>
    </w:pPr>
    <w:rPr>
      <w:lang w:eastAsia="en-GB"/>
    </w:rPr>
  </w:style>
  <w:style w:type="paragraph" w:customStyle="1" w:styleId="83">
    <w:name w:val="正文3"/>
    <w:qFormat/>
    <w:uiPriority w:val="0"/>
    <w:pPr>
      <w:spacing w:before="120" w:after="120"/>
    </w:pPr>
    <w:rPr>
      <w:rFonts w:ascii="Times New Roman" w:hAnsi="Times New Roman" w:eastAsia="等线" w:cs="Times New Roman"/>
      <w:kern w:val="2"/>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5.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1B453-9EFC-4178-8980-6A03B4AA4439}">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Pages>
  <Words>3825</Words>
  <Characters>21806</Characters>
  <Lines>181</Lines>
  <Paragraphs>51</Paragraphs>
  <TotalTime>4</TotalTime>
  <ScaleCrop>false</ScaleCrop>
  <LinksUpToDate>false</LinksUpToDate>
  <CharactersWithSpaces>25580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2025-02-07T08:58:06Z</dcterms:modified>
  <dc:subject>&lt;Title 1; Title 2&gt; (Release 14 | 13 |12)</dc:subject>
  <dc:title>3GPP TS ab.cde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812DE726C6C9497F8500A1066B02F610</vt:lpwstr>
  </property>
</Properties>
</file>